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48004" w14:textId="77777777" w:rsidR="00C15792" w:rsidRPr="001D27C6" w:rsidRDefault="00C15792" w:rsidP="004B4A39">
      <w:pPr>
        <w:pStyle w:val="Brdtekst"/>
        <w:widowControl w:val="0"/>
        <w:suppressAutoHyphens/>
        <w:spacing w:line="360" w:lineRule="auto"/>
        <w:ind w:left="1560" w:right="2316"/>
        <w:jc w:val="center"/>
        <w:rPr>
          <w:rFonts w:asciiTheme="minorHAnsi" w:hAnsiTheme="minorHAnsi" w:cstheme="minorHAnsi"/>
          <w:b/>
          <w:sz w:val="36"/>
          <w:lang w:val="el-GR"/>
        </w:rPr>
      </w:pPr>
    </w:p>
    <w:p w14:paraId="263FF504" w14:textId="77777777" w:rsidR="00C15792" w:rsidRPr="001D27C6" w:rsidRDefault="00C15792" w:rsidP="004B4A39">
      <w:pPr>
        <w:pStyle w:val="Brdtekst"/>
        <w:widowControl w:val="0"/>
        <w:suppressAutoHyphens/>
        <w:spacing w:line="360" w:lineRule="auto"/>
        <w:ind w:left="1560" w:right="2316"/>
        <w:jc w:val="center"/>
        <w:rPr>
          <w:rFonts w:asciiTheme="minorHAnsi" w:hAnsiTheme="minorHAnsi" w:cstheme="minorHAnsi"/>
          <w:b/>
          <w:sz w:val="36"/>
          <w:szCs w:val="40"/>
          <w:lang w:val="en-GB"/>
        </w:rPr>
      </w:pPr>
    </w:p>
    <w:p w14:paraId="7EA772F1" w14:textId="77777777" w:rsidR="00C15792" w:rsidRPr="001D27C6" w:rsidRDefault="00C15792" w:rsidP="004B4A39">
      <w:pPr>
        <w:pStyle w:val="Brdtekst"/>
        <w:widowControl w:val="0"/>
        <w:suppressAutoHyphens/>
        <w:spacing w:line="360" w:lineRule="auto"/>
        <w:ind w:left="1560" w:right="2316"/>
        <w:jc w:val="center"/>
        <w:rPr>
          <w:rFonts w:asciiTheme="minorHAnsi" w:hAnsiTheme="minorHAnsi" w:cstheme="minorHAnsi"/>
          <w:b/>
          <w:sz w:val="36"/>
          <w:szCs w:val="40"/>
          <w:lang w:val="en-GB"/>
        </w:rPr>
      </w:pPr>
    </w:p>
    <w:p w14:paraId="78F1753E" w14:textId="77777777" w:rsidR="00C15792" w:rsidRPr="001D27C6" w:rsidRDefault="00C15792" w:rsidP="004B4A39">
      <w:pPr>
        <w:pStyle w:val="Brdtekst"/>
        <w:widowControl w:val="0"/>
        <w:suppressAutoHyphens/>
        <w:spacing w:line="360" w:lineRule="auto"/>
        <w:ind w:left="1560" w:right="2316"/>
        <w:jc w:val="center"/>
        <w:rPr>
          <w:rFonts w:asciiTheme="minorHAnsi" w:hAnsiTheme="minorHAnsi" w:cstheme="minorHAnsi"/>
          <w:b/>
          <w:sz w:val="36"/>
          <w:szCs w:val="40"/>
          <w:lang w:val="en-GB"/>
        </w:rPr>
      </w:pPr>
    </w:p>
    <w:p w14:paraId="622BC8BA" w14:textId="77777777" w:rsidR="004B4A39" w:rsidRPr="001D27C6" w:rsidRDefault="00DE07BA" w:rsidP="00632D89">
      <w:pPr>
        <w:pStyle w:val="Brdtekst"/>
        <w:widowControl w:val="0"/>
        <w:suppressAutoHyphens/>
        <w:spacing w:line="360" w:lineRule="auto"/>
        <w:ind w:left="1276" w:right="1182"/>
        <w:jc w:val="center"/>
        <w:rPr>
          <w:rFonts w:asciiTheme="minorHAnsi" w:hAnsiTheme="minorHAnsi" w:cstheme="minorHAnsi"/>
          <w:b/>
          <w:color w:val="002060"/>
          <w:sz w:val="36"/>
          <w:szCs w:val="36"/>
          <w:lang w:val="en-GB"/>
        </w:rPr>
      </w:pPr>
      <w:bookmarkStart w:id="0" w:name="_Hlk71543481"/>
      <w:r w:rsidRPr="001D27C6">
        <w:rPr>
          <w:rFonts w:asciiTheme="minorHAnsi" w:hAnsiTheme="minorHAnsi" w:cstheme="minorHAnsi"/>
          <w:b/>
          <w:color w:val="002060"/>
          <w:sz w:val="36"/>
          <w:szCs w:val="36"/>
          <w:lang w:val="en-GB"/>
        </w:rPr>
        <w:t>Binding Phase Notice</w:t>
      </w:r>
      <w:r w:rsidR="00B80213" w:rsidRPr="001D27C6">
        <w:rPr>
          <w:rFonts w:asciiTheme="minorHAnsi" w:hAnsiTheme="minorHAnsi" w:cstheme="minorHAnsi"/>
          <w:b/>
          <w:color w:val="002060"/>
          <w:sz w:val="36"/>
          <w:szCs w:val="36"/>
          <w:lang w:val="en-GB"/>
        </w:rPr>
        <w:t xml:space="preserve"> </w:t>
      </w:r>
      <w:r w:rsidR="00F618D4" w:rsidRPr="001D27C6">
        <w:rPr>
          <w:rFonts w:asciiTheme="minorHAnsi" w:hAnsiTheme="minorHAnsi" w:cstheme="minorHAnsi"/>
          <w:b/>
          <w:color w:val="002060"/>
          <w:sz w:val="36"/>
          <w:szCs w:val="36"/>
          <w:lang w:val="en-GB"/>
        </w:rPr>
        <w:t xml:space="preserve">of DESFA </w:t>
      </w:r>
      <w:bookmarkEnd w:id="0"/>
    </w:p>
    <w:p w14:paraId="44C0757D" w14:textId="77777777" w:rsidR="00BE35B1" w:rsidRPr="001D27C6" w:rsidRDefault="00267E44" w:rsidP="00632D89">
      <w:pPr>
        <w:pStyle w:val="Brdtekst"/>
        <w:widowControl w:val="0"/>
        <w:suppressAutoHyphens/>
        <w:spacing w:line="360" w:lineRule="auto"/>
        <w:ind w:left="1276" w:right="1182"/>
        <w:jc w:val="center"/>
        <w:rPr>
          <w:rFonts w:asciiTheme="minorHAnsi" w:hAnsiTheme="minorHAnsi" w:cstheme="minorHAnsi"/>
          <w:b/>
          <w:color w:val="002060"/>
          <w:sz w:val="36"/>
          <w:szCs w:val="36"/>
          <w:lang w:val="en-GB"/>
        </w:rPr>
      </w:pPr>
      <w:r w:rsidRPr="001D27C6">
        <w:rPr>
          <w:rFonts w:asciiTheme="minorHAnsi" w:hAnsiTheme="minorHAnsi" w:cstheme="minorHAnsi"/>
          <w:b/>
          <w:color w:val="002060"/>
          <w:sz w:val="36"/>
          <w:szCs w:val="36"/>
          <w:lang w:val="en-GB"/>
        </w:rPr>
        <w:t>for</w:t>
      </w:r>
      <w:r w:rsidR="00F618D4" w:rsidRPr="001D27C6">
        <w:rPr>
          <w:rFonts w:asciiTheme="minorHAnsi" w:hAnsiTheme="minorHAnsi" w:cstheme="minorHAnsi"/>
          <w:b/>
          <w:color w:val="002060"/>
          <w:sz w:val="36"/>
          <w:szCs w:val="36"/>
          <w:lang w:val="en-GB"/>
        </w:rPr>
        <w:t xml:space="preserve"> </w:t>
      </w:r>
      <w:r w:rsidR="00DE07BA" w:rsidRPr="001D27C6">
        <w:rPr>
          <w:rFonts w:asciiTheme="minorHAnsi" w:hAnsiTheme="minorHAnsi" w:cstheme="minorHAnsi"/>
          <w:b/>
          <w:color w:val="002060"/>
          <w:sz w:val="36"/>
          <w:szCs w:val="36"/>
          <w:lang w:val="en-GB"/>
        </w:rPr>
        <w:t xml:space="preserve">the offer of </w:t>
      </w:r>
      <w:bookmarkStart w:id="1" w:name="_Hlk71632457"/>
      <w:r w:rsidR="003E2099" w:rsidRPr="001D27C6">
        <w:rPr>
          <w:rFonts w:asciiTheme="minorHAnsi" w:hAnsiTheme="minorHAnsi" w:cstheme="minorHAnsi"/>
          <w:b/>
          <w:color w:val="002060"/>
          <w:sz w:val="36"/>
          <w:szCs w:val="36"/>
          <w:lang w:val="en-GB"/>
        </w:rPr>
        <w:t>I</w:t>
      </w:r>
      <w:r w:rsidRPr="001D27C6">
        <w:rPr>
          <w:rFonts w:asciiTheme="minorHAnsi" w:hAnsiTheme="minorHAnsi" w:cstheme="minorHAnsi"/>
          <w:b/>
          <w:color w:val="002060"/>
          <w:sz w:val="36"/>
          <w:szCs w:val="36"/>
          <w:lang w:val="en-GB"/>
        </w:rPr>
        <w:t xml:space="preserve">ncremental Capacity </w:t>
      </w:r>
    </w:p>
    <w:p w14:paraId="26682829" w14:textId="77777777" w:rsidR="0079528F" w:rsidRPr="001D27C6" w:rsidRDefault="00E1349E" w:rsidP="00632D89">
      <w:pPr>
        <w:pStyle w:val="Brdtekst"/>
        <w:widowControl w:val="0"/>
        <w:suppressAutoHyphens/>
        <w:spacing w:line="360" w:lineRule="auto"/>
        <w:ind w:left="1276" w:right="1182"/>
        <w:jc w:val="center"/>
        <w:rPr>
          <w:rFonts w:asciiTheme="minorHAnsi" w:hAnsiTheme="minorHAnsi" w:cstheme="minorHAnsi"/>
          <w:b/>
          <w:color w:val="002060"/>
          <w:sz w:val="36"/>
          <w:szCs w:val="36"/>
          <w:lang w:val="en-GB"/>
        </w:rPr>
      </w:pPr>
      <w:r>
        <w:rPr>
          <w:rFonts w:asciiTheme="minorHAnsi" w:hAnsiTheme="minorHAnsi" w:cstheme="minorHAnsi"/>
          <w:b/>
          <w:color w:val="002060"/>
          <w:sz w:val="36"/>
          <w:szCs w:val="36"/>
          <w:lang w:val="en-GB"/>
        </w:rPr>
        <w:t>at</w:t>
      </w:r>
      <w:r w:rsidR="00267E44" w:rsidRPr="001D27C6">
        <w:rPr>
          <w:rFonts w:asciiTheme="minorHAnsi" w:hAnsiTheme="minorHAnsi" w:cstheme="minorHAnsi"/>
          <w:b/>
          <w:color w:val="002060"/>
          <w:sz w:val="36"/>
          <w:szCs w:val="36"/>
          <w:lang w:val="en-GB"/>
        </w:rPr>
        <w:t xml:space="preserve"> </w:t>
      </w:r>
      <w:proofErr w:type="spellStart"/>
      <w:r w:rsidR="00267E44" w:rsidRPr="001D27C6">
        <w:rPr>
          <w:rFonts w:asciiTheme="minorHAnsi" w:hAnsiTheme="minorHAnsi" w:cstheme="minorHAnsi"/>
          <w:b/>
          <w:color w:val="002060"/>
          <w:sz w:val="36"/>
          <w:szCs w:val="36"/>
          <w:lang w:val="en-GB"/>
        </w:rPr>
        <w:t>Nea</w:t>
      </w:r>
      <w:proofErr w:type="spellEnd"/>
      <w:r w:rsidR="00267E44" w:rsidRPr="001D27C6">
        <w:rPr>
          <w:rFonts w:asciiTheme="minorHAnsi" w:hAnsiTheme="minorHAnsi" w:cstheme="minorHAnsi"/>
          <w:b/>
          <w:color w:val="002060"/>
          <w:sz w:val="36"/>
          <w:szCs w:val="36"/>
          <w:lang w:val="en-GB"/>
        </w:rPr>
        <w:t xml:space="preserve"> </w:t>
      </w:r>
      <w:r w:rsidR="00317B81" w:rsidRPr="001D27C6">
        <w:rPr>
          <w:rFonts w:asciiTheme="minorHAnsi" w:hAnsiTheme="minorHAnsi" w:cstheme="minorHAnsi"/>
          <w:b/>
          <w:color w:val="002060"/>
          <w:sz w:val="36"/>
          <w:szCs w:val="36"/>
          <w:lang w:val="en-GB"/>
        </w:rPr>
        <w:t>Mesimvria</w:t>
      </w:r>
      <w:r w:rsidR="004251EF" w:rsidRPr="001D27C6">
        <w:rPr>
          <w:rFonts w:asciiTheme="minorHAnsi" w:hAnsiTheme="minorHAnsi" w:cstheme="minorHAnsi"/>
          <w:b/>
          <w:color w:val="002060"/>
          <w:sz w:val="36"/>
          <w:szCs w:val="36"/>
          <w:lang w:val="en-GB"/>
        </w:rPr>
        <w:t xml:space="preserve"> Interconnection Point</w:t>
      </w:r>
    </w:p>
    <w:bookmarkEnd w:id="1"/>
    <w:p w14:paraId="04D96804" w14:textId="77777777" w:rsidR="00C44E3E" w:rsidRPr="001D27C6" w:rsidRDefault="00C44E3E" w:rsidP="00C42470">
      <w:pPr>
        <w:pStyle w:val="Brdtekst"/>
        <w:widowControl w:val="0"/>
        <w:suppressAutoHyphens/>
        <w:spacing w:after="120"/>
        <w:jc w:val="center"/>
        <w:rPr>
          <w:rFonts w:asciiTheme="minorHAnsi" w:hAnsiTheme="minorHAnsi" w:cstheme="minorHAnsi"/>
          <w:b/>
          <w:color w:val="002060"/>
          <w:sz w:val="32"/>
          <w:szCs w:val="32"/>
          <w:lang w:val="en-GB"/>
        </w:rPr>
      </w:pPr>
    </w:p>
    <w:p w14:paraId="237820FF" w14:textId="1F32D092" w:rsidR="00C42470" w:rsidRPr="007C45E3" w:rsidRDefault="00C42470" w:rsidP="00C42470">
      <w:pPr>
        <w:pStyle w:val="Brdtekst"/>
        <w:widowControl w:val="0"/>
        <w:suppressAutoHyphens/>
        <w:spacing w:after="120"/>
        <w:jc w:val="center"/>
        <w:rPr>
          <w:rFonts w:asciiTheme="minorHAnsi" w:hAnsiTheme="minorHAnsi" w:cstheme="minorHAnsi"/>
          <w:b/>
          <w:color w:val="002060"/>
          <w:sz w:val="32"/>
          <w:szCs w:val="32"/>
        </w:rPr>
      </w:pPr>
      <w:r w:rsidRPr="001D27C6">
        <w:rPr>
          <w:rFonts w:asciiTheme="minorHAnsi" w:hAnsiTheme="minorHAnsi" w:cstheme="minorHAnsi"/>
          <w:b/>
          <w:color w:val="002060"/>
          <w:sz w:val="32"/>
          <w:szCs w:val="32"/>
          <w:lang w:val="en-GB"/>
        </w:rPr>
        <w:t>1</w:t>
      </w:r>
      <w:r w:rsidR="004937CF">
        <w:rPr>
          <w:rFonts w:asciiTheme="minorHAnsi" w:hAnsiTheme="minorHAnsi" w:cstheme="minorHAnsi"/>
          <w:b/>
          <w:color w:val="002060"/>
          <w:sz w:val="32"/>
          <w:szCs w:val="32"/>
          <w:lang w:val="en-GB"/>
        </w:rPr>
        <w:t>4</w:t>
      </w:r>
      <w:r w:rsidRPr="001D27C6">
        <w:rPr>
          <w:rFonts w:asciiTheme="minorHAnsi" w:hAnsiTheme="minorHAnsi" w:cstheme="minorHAnsi"/>
          <w:b/>
          <w:color w:val="002060"/>
          <w:sz w:val="32"/>
          <w:szCs w:val="32"/>
          <w:lang w:val="en-GB"/>
        </w:rPr>
        <w:t xml:space="preserve"> </w:t>
      </w:r>
      <w:r w:rsidR="004937CF">
        <w:rPr>
          <w:rFonts w:asciiTheme="minorHAnsi" w:hAnsiTheme="minorHAnsi" w:cstheme="minorHAnsi"/>
          <w:b/>
          <w:color w:val="002060"/>
          <w:sz w:val="32"/>
          <w:szCs w:val="32"/>
          <w:lang w:val="en-GB"/>
        </w:rPr>
        <w:t>November</w:t>
      </w:r>
      <w:r w:rsidRPr="001D27C6">
        <w:rPr>
          <w:rFonts w:asciiTheme="minorHAnsi" w:hAnsiTheme="minorHAnsi" w:cstheme="minorHAnsi"/>
          <w:b/>
          <w:color w:val="002060"/>
          <w:sz w:val="32"/>
          <w:szCs w:val="32"/>
          <w:lang w:val="en-GB"/>
        </w:rPr>
        <w:t xml:space="preserve"> 202</w:t>
      </w:r>
      <w:r w:rsidR="004937CF">
        <w:rPr>
          <w:rFonts w:asciiTheme="minorHAnsi" w:hAnsiTheme="minorHAnsi" w:cstheme="minorHAnsi"/>
          <w:b/>
          <w:color w:val="002060"/>
          <w:sz w:val="32"/>
          <w:szCs w:val="32"/>
          <w:lang w:val="en-GB"/>
        </w:rPr>
        <w:t>2</w:t>
      </w:r>
    </w:p>
    <w:p w14:paraId="52968B4F" w14:textId="77777777" w:rsidR="00C15792" w:rsidRPr="001D27C6" w:rsidRDefault="00C15792" w:rsidP="00C42470">
      <w:pPr>
        <w:pStyle w:val="Brdtekst"/>
        <w:widowControl w:val="0"/>
        <w:suppressAutoHyphens/>
        <w:spacing w:after="120"/>
        <w:jc w:val="center"/>
        <w:rPr>
          <w:rFonts w:asciiTheme="minorHAnsi" w:hAnsiTheme="minorHAnsi" w:cstheme="minorHAnsi"/>
          <w:b/>
          <w:sz w:val="32"/>
          <w:szCs w:val="32"/>
          <w:lang w:val="en-GB"/>
        </w:rPr>
      </w:pPr>
    </w:p>
    <w:p w14:paraId="746B4A23" w14:textId="77777777" w:rsidR="00C15792" w:rsidRPr="001D27C6" w:rsidRDefault="00C15792" w:rsidP="00C42470">
      <w:pPr>
        <w:pStyle w:val="Brdtekst"/>
        <w:widowControl w:val="0"/>
        <w:suppressAutoHyphens/>
        <w:spacing w:after="120"/>
        <w:jc w:val="center"/>
        <w:rPr>
          <w:rFonts w:asciiTheme="minorHAnsi" w:hAnsiTheme="minorHAnsi" w:cstheme="minorHAnsi"/>
          <w:b/>
          <w:sz w:val="32"/>
          <w:szCs w:val="32"/>
          <w:lang w:val="en-GB"/>
        </w:rPr>
      </w:pPr>
    </w:p>
    <w:p w14:paraId="530804E5" w14:textId="77777777" w:rsidR="00C15792" w:rsidRPr="001D27C6" w:rsidRDefault="00C15792" w:rsidP="00C42470">
      <w:pPr>
        <w:pStyle w:val="Brdtekst"/>
        <w:widowControl w:val="0"/>
        <w:suppressAutoHyphens/>
        <w:spacing w:after="120"/>
        <w:jc w:val="center"/>
        <w:rPr>
          <w:rFonts w:asciiTheme="minorHAnsi" w:hAnsiTheme="minorHAnsi" w:cstheme="minorHAnsi"/>
          <w:b/>
          <w:sz w:val="32"/>
          <w:szCs w:val="32"/>
          <w:lang w:val="en-GB"/>
        </w:rPr>
      </w:pPr>
    </w:p>
    <w:p w14:paraId="75B0997C" w14:textId="77777777" w:rsidR="00560F4D" w:rsidRPr="001D27C6" w:rsidRDefault="00560F4D" w:rsidP="00C42470">
      <w:pPr>
        <w:pStyle w:val="Brdtekst"/>
        <w:widowControl w:val="0"/>
        <w:suppressAutoHyphens/>
        <w:spacing w:after="120"/>
        <w:jc w:val="center"/>
        <w:rPr>
          <w:rFonts w:asciiTheme="minorHAnsi" w:hAnsiTheme="minorHAnsi" w:cstheme="minorHAnsi"/>
          <w:b/>
          <w:sz w:val="32"/>
          <w:szCs w:val="32"/>
          <w:lang w:val="en-GB"/>
        </w:rPr>
      </w:pPr>
    </w:p>
    <w:p w14:paraId="12FD1127" w14:textId="77777777" w:rsidR="00560F4D" w:rsidRPr="001D27C6" w:rsidRDefault="00560F4D" w:rsidP="00C42470">
      <w:pPr>
        <w:pStyle w:val="Brdtekst"/>
        <w:widowControl w:val="0"/>
        <w:suppressAutoHyphens/>
        <w:spacing w:after="120"/>
        <w:jc w:val="center"/>
        <w:rPr>
          <w:rFonts w:asciiTheme="minorHAnsi" w:hAnsiTheme="minorHAnsi" w:cstheme="minorHAnsi"/>
          <w:b/>
          <w:sz w:val="32"/>
          <w:szCs w:val="32"/>
          <w:lang w:val="en-GB"/>
        </w:rPr>
      </w:pPr>
    </w:p>
    <w:p w14:paraId="1187B640" w14:textId="7B78385E" w:rsidR="00560F4D" w:rsidRDefault="00560F4D" w:rsidP="00C42470">
      <w:pPr>
        <w:pStyle w:val="Brdtekst"/>
        <w:widowControl w:val="0"/>
        <w:suppressAutoHyphens/>
        <w:spacing w:after="120"/>
        <w:jc w:val="center"/>
        <w:rPr>
          <w:rFonts w:asciiTheme="minorHAnsi" w:hAnsiTheme="minorHAnsi" w:cstheme="minorHAnsi"/>
          <w:b/>
          <w:sz w:val="32"/>
          <w:szCs w:val="32"/>
          <w:lang w:val="en-GB"/>
        </w:rPr>
      </w:pPr>
    </w:p>
    <w:p w14:paraId="4E176B5A" w14:textId="737E499D" w:rsidR="004937CF" w:rsidRDefault="004937CF" w:rsidP="00C42470">
      <w:pPr>
        <w:pStyle w:val="Brdtekst"/>
        <w:widowControl w:val="0"/>
        <w:suppressAutoHyphens/>
        <w:spacing w:after="120"/>
        <w:jc w:val="center"/>
        <w:rPr>
          <w:rFonts w:asciiTheme="minorHAnsi" w:hAnsiTheme="minorHAnsi" w:cstheme="minorHAnsi"/>
          <w:b/>
          <w:sz w:val="32"/>
          <w:szCs w:val="32"/>
          <w:lang w:val="en-GB"/>
        </w:rPr>
      </w:pPr>
    </w:p>
    <w:p w14:paraId="4EDAF7C8" w14:textId="77777777" w:rsidR="004937CF" w:rsidRPr="001D27C6" w:rsidRDefault="004937CF" w:rsidP="00C42470">
      <w:pPr>
        <w:pStyle w:val="Brdtekst"/>
        <w:widowControl w:val="0"/>
        <w:suppressAutoHyphens/>
        <w:spacing w:after="120"/>
        <w:jc w:val="center"/>
        <w:rPr>
          <w:rFonts w:asciiTheme="minorHAnsi" w:hAnsiTheme="minorHAnsi" w:cstheme="minorHAnsi"/>
          <w:b/>
          <w:sz w:val="32"/>
          <w:szCs w:val="32"/>
          <w:lang w:val="en-GB"/>
        </w:rPr>
      </w:pPr>
    </w:p>
    <w:p w14:paraId="1E6767C1" w14:textId="77777777" w:rsidR="00560F4D" w:rsidRPr="001D27C6" w:rsidRDefault="00560F4D" w:rsidP="00C42470">
      <w:pPr>
        <w:pStyle w:val="Brdtekst"/>
        <w:widowControl w:val="0"/>
        <w:suppressAutoHyphens/>
        <w:spacing w:after="120"/>
        <w:jc w:val="center"/>
        <w:rPr>
          <w:rFonts w:asciiTheme="minorHAnsi" w:hAnsiTheme="minorHAnsi" w:cstheme="minorHAnsi"/>
          <w:b/>
          <w:sz w:val="32"/>
          <w:szCs w:val="32"/>
          <w:lang w:val="en-GB"/>
        </w:rPr>
      </w:pPr>
    </w:p>
    <w:p w14:paraId="00041AED" w14:textId="77777777" w:rsidR="00560F4D" w:rsidRPr="001D27C6" w:rsidRDefault="00560F4D" w:rsidP="00C42470">
      <w:pPr>
        <w:pStyle w:val="Brdtekst"/>
        <w:widowControl w:val="0"/>
        <w:suppressAutoHyphens/>
        <w:spacing w:after="120"/>
        <w:jc w:val="center"/>
        <w:rPr>
          <w:rFonts w:asciiTheme="minorHAnsi" w:hAnsiTheme="minorHAnsi" w:cstheme="minorHAnsi"/>
          <w:b/>
          <w:sz w:val="32"/>
          <w:szCs w:val="32"/>
          <w:lang w:val="en-GB"/>
        </w:rPr>
      </w:pPr>
    </w:p>
    <w:p w14:paraId="3889B856" w14:textId="77777777" w:rsidR="00C15792" w:rsidRPr="001D27C6" w:rsidRDefault="00C15792" w:rsidP="00560F4D">
      <w:pPr>
        <w:widowControl w:val="0"/>
        <w:suppressAutoHyphens/>
        <w:spacing w:after="120"/>
        <w:ind w:right="-518"/>
        <w:jc w:val="center"/>
        <w:rPr>
          <w:rFonts w:cstheme="minorHAnsi"/>
          <w:i/>
        </w:rPr>
      </w:pPr>
      <w:r w:rsidRPr="001D27C6">
        <w:rPr>
          <w:rFonts w:cstheme="minorHAnsi"/>
          <w:i/>
        </w:rPr>
        <w:t xml:space="preserve">This document is </w:t>
      </w:r>
      <w:r w:rsidR="00560F4D" w:rsidRPr="001D27C6">
        <w:rPr>
          <w:rFonts w:cstheme="minorHAnsi"/>
          <w:i/>
        </w:rPr>
        <w:t xml:space="preserve">drafted and </w:t>
      </w:r>
      <w:r w:rsidRPr="001D27C6">
        <w:rPr>
          <w:rFonts w:cstheme="minorHAnsi"/>
          <w:i/>
        </w:rPr>
        <w:t xml:space="preserve">published at the websites of </w:t>
      </w:r>
      <w:r w:rsidR="00560F4D" w:rsidRPr="001D27C6">
        <w:rPr>
          <w:rFonts w:cstheme="minorHAnsi"/>
          <w:i/>
        </w:rPr>
        <w:t xml:space="preserve">DESFA </w:t>
      </w:r>
      <w:r w:rsidRPr="001D27C6">
        <w:rPr>
          <w:rFonts w:cstheme="minorHAnsi"/>
          <w:i/>
        </w:rPr>
        <w:t xml:space="preserve">in accordance with </w:t>
      </w:r>
      <w:r w:rsidR="008B7D04">
        <w:rPr>
          <w:rFonts w:cstheme="minorHAnsi"/>
          <w:i/>
        </w:rPr>
        <w:t>a</w:t>
      </w:r>
      <w:r w:rsidRPr="001D27C6">
        <w:rPr>
          <w:rFonts w:cstheme="minorHAnsi"/>
          <w:i/>
        </w:rPr>
        <w:t>rticle 28 (3) of Regulation (EU) No 2017/459 of 16 March 2017.</w:t>
      </w:r>
    </w:p>
    <w:p w14:paraId="1671849A" w14:textId="77777777" w:rsidR="00CC7A2F" w:rsidRPr="001D27C6" w:rsidRDefault="00CC7A2F" w:rsidP="00CC7A2F">
      <w:pPr>
        <w:jc w:val="center"/>
        <w:rPr>
          <w:rFonts w:cstheme="minorHAnsi"/>
          <w:sz w:val="20"/>
          <w:szCs w:val="20"/>
          <w:lang w:val="en-GB"/>
        </w:rPr>
      </w:pPr>
    </w:p>
    <w:p w14:paraId="1BF8C29E" w14:textId="77777777" w:rsidR="00CC7A2F" w:rsidRPr="001D27C6" w:rsidRDefault="00CC7A2F" w:rsidP="00CC7A2F">
      <w:pPr>
        <w:jc w:val="center"/>
        <w:rPr>
          <w:rFonts w:cstheme="minorHAnsi"/>
          <w:sz w:val="20"/>
          <w:szCs w:val="20"/>
          <w:lang w:val="en-GB"/>
        </w:rPr>
      </w:pPr>
    </w:p>
    <w:p w14:paraId="314EE37E" w14:textId="77777777" w:rsidR="00CC7A2F" w:rsidRPr="001D27C6" w:rsidRDefault="00CC7A2F" w:rsidP="00CC7A2F">
      <w:pPr>
        <w:jc w:val="center"/>
        <w:rPr>
          <w:rFonts w:cstheme="minorHAnsi"/>
          <w:sz w:val="20"/>
          <w:szCs w:val="20"/>
          <w:lang w:val="en-GB"/>
        </w:rPr>
      </w:pPr>
    </w:p>
    <w:p w14:paraId="3A7A262D" w14:textId="77777777" w:rsidR="00CC7A2F" w:rsidRPr="001D27C6" w:rsidRDefault="00CC7A2F" w:rsidP="00CC7A2F">
      <w:pPr>
        <w:jc w:val="center"/>
        <w:rPr>
          <w:rFonts w:cstheme="minorHAnsi"/>
          <w:sz w:val="20"/>
          <w:szCs w:val="20"/>
          <w:lang w:val="en-GB"/>
        </w:rPr>
      </w:pPr>
    </w:p>
    <w:p w14:paraId="7B17582C" w14:textId="77777777" w:rsidR="00CC7A2F" w:rsidRPr="001D27C6" w:rsidRDefault="00CC7A2F" w:rsidP="00CC7A2F">
      <w:pPr>
        <w:jc w:val="center"/>
        <w:rPr>
          <w:rFonts w:cstheme="minorHAnsi"/>
          <w:sz w:val="20"/>
          <w:szCs w:val="20"/>
          <w:lang w:val="en-GB"/>
        </w:rPr>
      </w:pPr>
    </w:p>
    <w:p w14:paraId="499E894B" w14:textId="77777777" w:rsidR="00CC7A2F" w:rsidRPr="001D27C6" w:rsidRDefault="00CC7A2F" w:rsidP="00CC7A2F">
      <w:pPr>
        <w:jc w:val="center"/>
        <w:rPr>
          <w:rFonts w:cstheme="minorHAnsi"/>
          <w:sz w:val="20"/>
          <w:szCs w:val="20"/>
          <w:lang w:val="en-GB"/>
        </w:rPr>
      </w:pPr>
    </w:p>
    <w:p w14:paraId="6205DF15" w14:textId="77777777" w:rsidR="00CC7A2F" w:rsidRPr="001D27C6" w:rsidRDefault="00CC7A2F" w:rsidP="00CC7A2F">
      <w:pPr>
        <w:jc w:val="center"/>
        <w:rPr>
          <w:rFonts w:cstheme="minorHAnsi"/>
          <w:sz w:val="20"/>
          <w:szCs w:val="20"/>
          <w:lang w:val="en-GB"/>
        </w:rPr>
      </w:pPr>
    </w:p>
    <w:p w14:paraId="164C047E" w14:textId="77777777" w:rsidR="00CC7A2F" w:rsidRPr="001D27C6" w:rsidRDefault="00CC7A2F" w:rsidP="00CC7A2F">
      <w:pPr>
        <w:jc w:val="center"/>
        <w:rPr>
          <w:rFonts w:cstheme="minorHAnsi"/>
          <w:sz w:val="20"/>
          <w:szCs w:val="20"/>
          <w:lang w:val="en-GB"/>
        </w:rPr>
      </w:pPr>
    </w:p>
    <w:p w14:paraId="7D5523C5" w14:textId="77777777" w:rsidR="00CC7A2F" w:rsidRPr="001D27C6" w:rsidRDefault="00CC7A2F" w:rsidP="00CC7A2F">
      <w:pPr>
        <w:jc w:val="center"/>
        <w:rPr>
          <w:rFonts w:cstheme="minorHAnsi"/>
          <w:sz w:val="20"/>
          <w:szCs w:val="20"/>
          <w:lang w:val="en-GB"/>
        </w:rPr>
      </w:pPr>
    </w:p>
    <w:p w14:paraId="464A4024" w14:textId="77777777" w:rsidR="00CC7A2F" w:rsidRPr="001D27C6" w:rsidRDefault="00CC7A2F" w:rsidP="00CC7A2F">
      <w:pPr>
        <w:jc w:val="center"/>
        <w:rPr>
          <w:rFonts w:cstheme="minorHAnsi"/>
          <w:sz w:val="20"/>
          <w:szCs w:val="20"/>
          <w:lang w:val="en-GB"/>
        </w:rPr>
      </w:pPr>
    </w:p>
    <w:p w14:paraId="298B7D6C" w14:textId="77777777" w:rsidR="00CC7A2F" w:rsidRPr="001D27C6" w:rsidRDefault="00CC7A2F" w:rsidP="00CC7A2F">
      <w:pPr>
        <w:jc w:val="center"/>
        <w:rPr>
          <w:rFonts w:cstheme="minorHAnsi"/>
          <w:sz w:val="20"/>
          <w:szCs w:val="20"/>
          <w:lang w:val="en-GB"/>
        </w:rPr>
      </w:pPr>
    </w:p>
    <w:p w14:paraId="675751A1" w14:textId="77777777" w:rsidR="00CC7A2F" w:rsidRPr="001D27C6" w:rsidRDefault="00CC7A2F" w:rsidP="00CC7A2F">
      <w:pPr>
        <w:jc w:val="center"/>
        <w:rPr>
          <w:rFonts w:cstheme="minorHAnsi"/>
          <w:sz w:val="20"/>
          <w:szCs w:val="20"/>
          <w:lang w:val="en-GB"/>
        </w:rPr>
      </w:pPr>
    </w:p>
    <w:p w14:paraId="1BE36C93" w14:textId="77777777" w:rsidR="00CC7A2F" w:rsidRPr="001D27C6" w:rsidRDefault="00CC7A2F" w:rsidP="00CC7A2F">
      <w:pPr>
        <w:jc w:val="center"/>
        <w:rPr>
          <w:rFonts w:cstheme="minorHAnsi"/>
          <w:sz w:val="20"/>
          <w:szCs w:val="20"/>
          <w:lang w:val="en-GB"/>
        </w:rPr>
      </w:pPr>
    </w:p>
    <w:p w14:paraId="7EC90A22" w14:textId="77777777" w:rsidR="00CC7A2F" w:rsidRPr="001D27C6" w:rsidRDefault="00CC7A2F" w:rsidP="00CC7A2F">
      <w:pPr>
        <w:jc w:val="center"/>
        <w:rPr>
          <w:rFonts w:cstheme="minorHAnsi"/>
          <w:sz w:val="20"/>
          <w:szCs w:val="20"/>
          <w:lang w:val="en-GB"/>
        </w:rPr>
      </w:pPr>
      <w:r w:rsidRPr="001D27C6">
        <w:rPr>
          <w:rFonts w:cstheme="minorHAnsi"/>
          <w:sz w:val="20"/>
          <w:szCs w:val="20"/>
          <w:lang w:val="en-GB"/>
        </w:rPr>
        <w:t>(This page intentionally left blank)</w:t>
      </w:r>
      <w:r w:rsidR="00BA4BBA" w:rsidRPr="001D27C6">
        <w:rPr>
          <w:rFonts w:cstheme="minorHAnsi"/>
          <w:sz w:val="20"/>
          <w:szCs w:val="20"/>
          <w:lang w:val="en-GB"/>
        </w:rPr>
        <w:t xml:space="preserve"> </w:t>
      </w:r>
    </w:p>
    <w:p w14:paraId="0196A62D" w14:textId="77777777" w:rsidR="00CC7A2F" w:rsidRPr="001D27C6" w:rsidRDefault="00CC7A2F" w:rsidP="00CC7A2F">
      <w:pPr>
        <w:jc w:val="center"/>
        <w:rPr>
          <w:rFonts w:cstheme="minorHAnsi"/>
          <w:sz w:val="20"/>
          <w:szCs w:val="20"/>
          <w:lang w:val="en-GB"/>
        </w:rPr>
      </w:pPr>
    </w:p>
    <w:p w14:paraId="0B71CE83" w14:textId="77777777" w:rsidR="00CC7A2F" w:rsidRPr="001D27C6" w:rsidRDefault="00CC7A2F" w:rsidP="00CC7A2F">
      <w:pPr>
        <w:jc w:val="center"/>
        <w:rPr>
          <w:rFonts w:cstheme="minorHAnsi"/>
          <w:sz w:val="20"/>
          <w:szCs w:val="20"/>
          <w:lang w:val="en-GB"/>
        </w:rPr>
      </w:pPr>
    </w:p>
    <w:p w14:paraId="280C39FB" w14:textId="77777777" w:rsidR="00CC7A2F" w:rsidRPr="001D27C6" w:rsidRDefault="00CC7A2F" w:rsidP="00CC7A2F">
      <w:pPr>
        <w:jc w:val="center"/>
        <w:rPr>
          <w:rFonts w:cstheme="minorHAnsi"/>
          <w:sz w:val="20"/>
          <w:szCs w:val="20"/>
          <w:lang w:val="en-GB"/>
        </w:rPr>
      </w:pPr>
    </w:p>
    <w:p w14:paraId="78190E9C" w14:textId="77777777" w:rsidR="00C15792" w:rsidRPr="001D27C6" w:rsidRDefault="00C15792" w:rsidP="00CC7A2F">
      <w:pPr>
        <w:jc w:val="center"/>
        <w:rPr>
          <w:rFonts w:cstheme="minorHAnsi"/>
          <w:sz w:val="20"/>
          <w:szCs w:val="20"/>
          <w:lang w:val="en-GB"/>
        </w:rPr>
      </w:pPr>
      <w:r w:rsidRPr="001D27C6">
        <w:rPr>
          <w:rFonts w:cstheme="minorHAnsi"/>
          <w:sz w:val="20"/>
          <w:szCs w:val="20"/>
          <w:lang w:val="en-GB"/>
        </w:rPr>
        <w:br w:type="page"/>
      </w:r>
    </w:p>
    <w:p w14:paraId="7452769C" w14:textId="77777777" w:rsidR="00C15792" w:rsidRPr="001D27C6" w:rsidRDefault="00C15792" w:rsidP="00C42470">
      <w:pPr>
        <w:pStyle w:val="Brdtekst"/>
        <w:widowControl w:val="0"/>
        <w:suppressAutoHyphens/>
        <w:spacing w:after="120"/>
        <w:jc w:val="center"/>
        <w:rPr>
          <w:rFonts w:asciiTheme="minorHAnsi" w:hAnsiTheme="minorHAnsi" w:cstheme="minorHAnsi"/>
          <w:b/>
          <w:sz w:val="32"/>
          <w:szCs w:val="32"/>
          <w:lang w:val="en-GB"/>
        </w:rPr>
      </w:pPr>
    </w:p>
    <w:p w14:paraId="1A9D318A" w14:textId="314C055C" w:rsidR="00632D89" w:rsidRPr="001D27C6" w:rsidRDefault="00632D89" w:rsidP="00D916CC">
      <w:pPr>
        <w:widowControl w:val="0"/>
        <w:suppressAutoHyphens/>
        <w:spacing w:after="120"/>
        <w:ind w:left="284"/>
        <w:rPr>
          <w:rFonts w:cstheme="minorHAnsi"/>
          <w:u w:color="000000"/>
        </w:rPr>
      </w:pPr>
      <w:r w:rsidRPr="001D27C6">
        <w:rPr>
          <w:rFonts w:cstheme="minorHAnsi"/>
        </w:rPr>
        <w:t>This document is elaborated and published by</w:t>
      </w:r>
      <w:r w:rsidRPr="001D27C6">
        <w:rPr>
          <w:rFonts w:cstheme="minorHAnsi"/>
          <w:u w:color="000000"/>
        </w:rPr>
        <w:t xml:space="preserve"> </w:t>
      </w:r>
      <w:r w:rsidR="004937CF">
        <w:rPr>
          <w:i/>
          <w:noProof/>
        </w:rPr>
        <w:drawing>
          <wp:inline distT="0" distB="0" distL="0" distR="0" wp14:anchorId="4C766D38" wp14:editId="098E5342">
            <wp:extent cx="969082" cy="286973"/>
            <wp:effectExtent l="0" t="0" r="254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t="31291" b="31466"/>
                    <a:stretch/>
                  </pic:blipFill>
                  <pic:spPr bwMode="auto">
                    <a:xfrm>
                      <a:off x="0" y="0"/>
                      <a:ext cx="1020036" cy="302062"/>
                    </a:xfrm>
                    <a:prstGeom prst="rect">
                      <a:avLst/>
                    </a:prstGeom>
                    <a:ln>
                      <a:noFill/>
                    </a:ln>
                    <a:extLst>
                      <a:ext uri="{53640926-AAD7-44D8-BBD7-CCE9431645EC}">
                        <a14:shadowObscured xmlns:a14="http://schemas.microsoft.com/office/drawing/2010/main"/>
                      </a:ext>
                    </a:extLst>
                  </pic:spPr>
                </pic:pic>
              </a:graphicData>
            </a:graphic>
          </wp:inline>
        </w:drawing>
      </w:r>
    </w:p>
    <w:p w14:paraId="1B824025" w14:textId="77777777" w:rsidR="00632D89" w:rsidRPr="001D27C6" w:rsidRDefault="00632D89" w:rsidP="00D916CC">
      <w:pPr>
        <w:widowControl w:val="0"/>
        <w:suppressAutoHyphens/>
        <w:spacing w:after="120"/>
        <w:ind w:left="284"/>
        <w:rPr>
          <w:rFonts w:cstheme="minorHAnsi"/>
          <w:u w:color="000000"/>
        </w:rPr>
      </w:pPr>
      <w:r w:rsidRPr="001D27C6">
        <w:rPr>
          <w:rFonts w:cstheme="minorHAnsi"/>
          <w:u w:color="000000"/>
        </w:rPr>
        <w:t xml:space="preserve">357-359 </w:t>
      </w:r>
      <w:proofErr w:type="spellStart"/>
      <w:r w:rsidRPr="001D27C6">
        <w:rPr>
          <w:rFonts w:cstheme="minorHAnsi"/>
          <w:u w:color="000000"/>
        </w:rPr>
        <w:t>Messogion</w:t>
      </w:r>
      <w:proofErr w:type="spellEnd"/>
      <w:r w:rsidRPr="001D27C6">
        <w:rPr>
          <w:rFonts w:cstheme="minorHAnsi"/>
          <w:u w:color="000000"/>
        </w:rPr>
        <w:t xml:space="preserve"> Ave,</w:t>
      </w:r>
      <w:r w:rsidR="00AE3D31" w:rsidRPr="001D27C6">
        <w:rPr>
          <w:rFonts w:cstheme="minorHAnsi"/>
          <w:u w:color="000000"/>
        </w:rPr>
        <w:t xml:space="preserve"> </w:t>
      </w:r>
      <w:r w:rsidR="008A179F" w:rsidRPr="001D27C6">
        <w:rPr>
          <w:rFonts w:cstheme="minorHAnsi"/>
          <w:u w:color="000000"/>
        </w:rPr>
        <w:t xml:space="preserve">P.O. 15231, </w:t>
      </w:r>
      <w:r w:rsidRPr="001D27C6">
        <w:rPr>
          <w:rFonts w:cstheme="minorHAnsi"/>
          <w:u w:color="000000"/>
        </w:rPr>
        <w:t>Athens, Greece</w:t>
      </w:r>
    </w:p>
    <w:p w14:paraId="6EE38A14" w14:textId="77777777" w:rsidR="00632D89" w:rsidRPr="001D27C6" w:rsidRDefault="00632D89" w:rsidP="00D916CC">
      <w:pPr>
        <w:widowControl w:val="0"/>
        <w:suppressAutoHyphens/>
        <w:spacing w:after="120"/>
        <w:ind w:left="284"/>
        <w:rPr>
          <w:rFonts w:eastAsia="Calibri" w:cstheme="minorHAnsi"/>
          <w:u w:color="000000"/>
          <w:lang w:val="fr-FR"/>
        </w:rPr>
      </w:pPr>
      <w:r w:rsidRPr="001D27C6">
        <w:rPr>
          <w:rFonts w:eastAsia="Calibri" w:cstheme="minorHAnsi"/>
          <w:u w:color="000000"/>
          <w:lang w:val="fr-FR"/>
        </w:rPr>
        <w:t>T</w:t>
      </w:r>
      <w:r w:rsidR="00D12553" w:rsidRPr="001D27C6">
        <w:rPr>
          <w:rFonts w:eastAsia="Calibri" w:cstheme="minorHAnsi"/>
          <w:u w:color="000000"/>
          <w:lang w:val="fr-FR"/>
        </w:rPr>
        <w:t xml:space="preserve"> </w:t>
      </w:r>
      <w:r w:rsidRPr="001D27C6">
        <w:rPr>
          <w:rFonts w:eastAsia="Calibri" w:cstheme="minorHAnsi"/>
          <w:u w:color="000000"/>
          <w:lang w:val="fr-FR"/>
        </w:rPr>
        <w:t>: +30</w:t>
      </w:r>
      <w:r w:rsidR="008A179F" w:rsidRPr="001D27C6">
        <w:rPr>
          <w:rFonts w:eastAsia="Calibri" w:cstheme="minorHAnsi"/>
          <w:u w:color="000000"/>
          <w:lang w:val="fr-FR"/>
        </w:rPr>
        <w:t xml:space="preserve"> </w:t>
      </w:r>
      <w:r w:rsidRPr="001D27C6">
        <w:rPr>
          <w:rFonts w:eastAsia="Calibri" w:cstheme="minorHAnsi"/>
          <w:u w:color="000000"/>
          <w:lang w:val="fr-FR"/>
        </w:rPr>
        <w:t>213</w:t>
      </w:r>
      <w:r w:rsidR="008A179F" w:rsidRPr="001D27C6">
        <w:rPr>
          <w:rFonts w:eastAsia="Calibri" w:cstheme="minorHAnsi"/>
          <w:u w:color="000000"/>
          <w:lang w:val="fr-FR"/>
        </w:rPr>
        <w:t xml:space="preserve"> </w:t>
      </w:r>
      <w:r w:rsidRPr="001D27C6">
        <w:rPr>
          <w:rFonts w:eastAsia="Calibri" w:cstheme="minorHAnsi"/>
          <w:u w:color="000000"/>
          <w:lang w:val="fr-FR"/>
        </w:rPr>
        <w:t>088</w:t>
      </w:r>
      <w:r w:rsidR="008A179F" w:rsidRPr="001D27C6">
        <w:rPr>
          <w:rFonts w:eastAsia="Calibri" w:cstheme="minorHAnsi"/>
          <w:u w:color="000000"/>
          <w:lang w:val="fr-FR"/>
        </w:rPr>
        <w:t xml:space="preserve"> </w:t>
      </w:r>
      <w:r w:rsidRPr="001D27C6">
        <w:rPr>
          <w:rFonts w:eastAsia="Calibri" w:cstheme="minorHAnsi"/>
          <w:u w:color="000000"/>
          <w:lang w:val="fr-FR"/>
        </w:rPr>
        <w:t>4000</w:t>
      </w:r>
    </w:p>
    <w:p w14:paraId="2A351BC6" w14:textId="77777777" w:rsidR="00632D89" w:rsidRPr="001D27C6" w:rsidRDefault="00632D89" w:rsidP="00D916CC">
      <w:pPr>
        <w:widowControl w:val="0"/>
        <w:suppressAutoHyphens/>
        <w:spacing w:after="120"/>
        <w:ind w:left="284"/>
        <w:rPr>
          <w:rFonts w:eastAsia="Calibri" w:cstheme="minorHAnsi"/>
          <w:u w:color="000000"/>
          <w:lang w:val="fr-FR"/>
        </w:rPr>
      </w:pPr>
      <w:r w:rsidRPr="001D27C6">
        <w:rPr>
          <w:rFonts w:eastAsia="Calibri" w:cstheme="minorHAnsi"/>
          <w:u w:color="000000"/>
          <w:lang w:val="fr-FR"/>
        </w:rPr>
        <w:t>F</w:t>
      </w:r>
      <w:r w:rsidR="00D12553" w:rsidRPr="001D27C6">
        <w:rPr>
          <w:rFonts w:eastAsia="Calibri" w:cstheme="minorHAnsi"/>
          <w:u w:color="000000"/>
          <w:lang w:val="fr-FR"/>
        </w:rPr>
        <w:t xml:space="preserve"> </w:t>
      </w:r>
      <w:r w:rsidRPr="001D27C6">
        <w:rPr>
          <w:rFonts w:eastAsia="Calibri" w:cstheme="minorHAnsi"/>
          <w:u w:color="000000"/>
          <w:lang w:val="fr-FR"/>
        </w:rPr>
        <w:t>: +30</w:t>
      </w:r>
      <w:r w:rsidR="008A179F" w:rsidRPr="001D27C6">
        <w:rPr>
          <w:rFonts w:eastAsia="Calibri" w:cstheme="minorHAnsi"/>
          <w:u w:color="000000"/>
          <w:lang w:val="fr-FR"/>
        </w:rPr>
        <w:t xml:space="preserve"> </w:t>
      </w:r>
      <w:r w:rsidRPr="001D27C6">
        <w:rPr>
          <w:rFonts w:eastAsia="Calibri" w:cstheme="minorHAnsi"/>
          <w:u w:color="000000"/>
          <w:lang w:val="fr-FR"/>
        </w:rPr>
        <w:t>213</w:t>
      </w:r>
      <w:r w:rsidR="008A179F" w:rsidRPr="001D27C6">
        <w:rPr>
          <w:rFonts w:eastAsia="Calibri" w:cstheme="minorHAnsi"/>
          <w:u w:color="000000"/>
          <w:lang w:val="fr-FR"/>
        </w:rPr>
        <w:t xml:space="preserve"> </w:t>
      </w:r>
      <w:r w:rsidRPr="001D27C6">
        <w:rPr>
          <w:rFonts w:eastAsia="Calibri" w:cstheme="minorHAnsi"/>
          <w:u w:color="000000"/>
          <w:lang w:val="fr-FR"/>
        </w:rPr>
        <w:t>088</w:t>
      </w:r>
      <w:r w:rsidR="008A179F" w:rsidRPr="001D27C6">
        <w:rPr>
          <w:rFonts w:eastAsia="Calibri" w:cstheme="minorHAnsi"/>
          <w:u w:color="000000"/>
          <w:lang w:val="fr-FR"/>
        </w:rPr>
        <w:t xml:space="preserve"> </w:t>
      </w:r>
      <w:r w:rsidRPr="001D27C6">
        <w:rPr>
          <w:rFonts w:eastAsia="Calibri" w:cstheme="minorHAnsi"/>
          <w:u w:color="000000"/>
          <w:lang w:val="fr-FR"/>
        </w:rPr>
        <w:t>4062</w:t>
      </w:r>
    </w:p>
    <w:p w14:paraId="5277542B" w14:textId="77777777" w:rsidR="00632D89" w:rsidRPr="001D27C6" w:rsidRDefault="00632D89" w:rsidP="00D916CC">
      <w:pPr>
        <w:widowControl w:val="0"/>
        <w:suppressAutoHyphens/>
        <w:spacing w:after="120" w:line="276" w:lineRule="auto"/>
        <w:ind w:left="284"/>
        <w:rPr>
          <w:rFonts w:eastAsia="Calibri" w:cstheme="minorHAnsi"/>
          <w:u w:color="000000"/>
          <w:lang w:val="fr-FR"/>
        </w:rPr>
      </w:pPr>
      <w:r w:rsidRPr="001D27C6">
        <w:rPr>
          <w:rFonts w:eastAsia="Calibri" w:cstheme="minorHAnsi"/>
          <w:u w:color="000000"/>
          <w:lang w:val="fr-FR"/>
        </w:rPr>
        <w:t>E</w:t>
      </w:r>
      <w:r w:rsidR="00D12553" w:rsidRPr="001D27C6">
        <w:rPr>
          <w:rFonts w:eastAsia="Calibri" w:cstheme="minorHAnsi"/>
          <w:u w:color="000000"/>
          <w:lang w:val="fr-FR"/>
        </w:rPr>
        <w:t xml:space="preserve"> </w:t>
      </w:r>
      <w:r w:rsidRPr="001D27C6">
        <w:rPr>
          <w:rFonts w:eastAsia="Calibri" w:cstheme="minorHAnsi"/>
          <w:u w:color="000000"/>
          <w:lang w:val="fr-FR"/>
        </w:rPr>
        <w:t>:</w:t>
      </w:r>
      <w:r w:rsidR="00AE3D31" w:rsidRPr="001D27C6">
        <w:rPr>
          <w:rFonts w:eastAsia="Calibri" w:cstheme="minorHAnsi"/>
          <w:u w:color="000000"/>
          <w:lang w:val="fr-FR"/>
        </w:rPr>
        <w:t xml:space="preserve"> </w:t>
      </w:r>
      <w:hyperlink r:id="rId12" w:history="1">
        <w:r w:rsidR="00197004" w:rsidRPr="001D27C6">
          <w:rPr>
            <w:rStyle w:val="Hyperlink"/>
            <w:rFonts w:eastAsia="Calibri" w:cstheme="minorHAnsi"/>
            <w:u w:color="000000"/>
            <w:lang w:val="fr-FR"/>
          </w:rPr>
          <w:t xml:space="preserve"> </w:t>
        </w:r>
      </w:hyperlink>
      <w:hyperlink r:id="rId13" w:history="1">
        <w:r w:rsidR="00197004" w:rsidRPr="001D27C6">
          <w:rPr>
            <w:rStyle w:val="Hyperlink"/>
            <w:rFonts w:cstheme="minorHAnsi"/>
            <w:lang w:val="fr-FR"/>
          </w:rPr>
          <w:t>market-test@desfa.gr</w:t>
        </w:r>
      </w:hyperlink>
    </w:p>
    <w:p w14:paraId="46E4DC46" w14:textId="77777777" w:rsidR="00632D89" w:rsidRPr="001D27C6" w:rsidRDefault="00D12553" w:rsidP="00D916CC">
      <w:pPr>
        <w:widowControl w:val="0"/>
        <w:suppressAutoHyphens/>
        <w:spacing w:after="120"/>
        <w:ind w:left="284" w:right="-660"/>
        <w:rPr>
          <w:rFonts w:cstheme="minorHAnsi"/>
        </w:rPr>
      </w:pPr>
      <w:r w:rsidRPr="001D27C6">
        <w:rPr>
          <w:rFonts w:cstheme="minorHAnsi"/>
        </w:rPr>
        <w:t>W:</w:t>
      </w:r>
      <w:r w:rsidR="00632D89" w:rsidRPr="001D27C6">
        <w:rPr>
          <w:rFonts w:cstheme="minorHAnsi"/>
        </w:rPr>
        <w:t xml:space="preserve"> </w:t>
      </w:r>
      <w:hyperlink r:id="rId14" w:history="1">
        <w:r w:rsidR="00632D89" w:rsidRPr="001D27C6">
          <w:rPr>
            <w:rStyle w:val="Hyperlink"/>
            <w:rFonts w:cstheme="minorHAnsi"/>
          </w:rPr>
          <w:t>www.desfa.gr</w:t>
        </w:r>
      </w:hyperlink>
    </w:p>
    <w:p w14:paraId="54E33D6C" w14:textId="77777777" w:rsidR="00632D89" w:rsidRPr="001D27C6" w:rsidRDefault="00632D89" w:rsidP="00D916CC">
      <w:pPr>
        <w:widowControl w:val="0"/>
        <w:suppressAutoHyphens/>
        <w:spacing w:after="120"/>
        <w:ind w:left="284" w:right="-660"/>
        <w:rPr>
          <w:rFonts w:cstheme="minorHAnsi"/>
        </w:rPr>
      </w:pPr>
    </w:p>
    <w:p w14:paraId="2CB849D4" w14:textId="77777777" w:rsidR="00632D89" w:rsidRPr="001D27C6" w:rsidRDefault="00632D89" w:rsidP="00D916CC">
      <w:pPr>
        <w:ind w:left="284"/>
        <w:rPr>
          <w:rFonts w:cstheme="minorHAnsi"/>
          <w:b/>
        </w:rPr>
      </w:pPr>
    </w:p>
    <w:p w14:paraId="34F50B94" w14:textId="77777777" w:rsidR="00632D89" w:rsidRPr="001D27C6" w:rsidRDefault="00632D89" w:rsidP="00632D89">
      <w:pPr>
        <w:rPr>
          <w:rFonts w:cstheme="minorHAnsi"/>
          <w:b/>
        </w:rPr>
      </w:pPr>
    </w:p>
    <w:p w14:paraId="37CA0422" w14:textId="77777777" w:rsidR="000604B3" w:rsidRPr="001D27C6" w:rsidRDefault="000604B3" w:rsidP="00632D89">
      <w:pPr>
        <w:rPr>
          <w:rFonts w:cstheme="minorHAnsi"/>
          <w:b/>
        </w:rPr>
      </w:pPr>
    </w:p>
    <w:p w14:paraId="5C0D5E3F" w14:textId="77777777" w:rsidR="000604B3" w:rsidRPr="001D27C6" w:rsidRDefault="000604B3" w:rsidP="00632D89">
      <w:pPr>
        <w:rPr>
          <w:rFonts w:cstheme="minorHAnsi"/>
          <w:b/>
        </w:rPr>
      </w:pPr>
    </w:p>
    <w:p w14:paraId="07E5852F" w14:textId="77777777" w:rsidR="00691DF1" w:rsidRPr="001D27C6" w:rsidRDefault="00691DF1" w:rsidP="00632D89">
      <w:pPr>
        <w:rPr>
          <w:rFonts w:cstheme="minorHAnsi"/>
          <w:b/>
        </w:rPr>
      </w:pPr>
    </w:p>
    <w:p w14:paraId="0B331DF1" w14:textId="77777777" w:rsidR="00691DF1" w:rsidRPr="001D27C6" w:rsidRDefault="00A9480C" w:rsidP="00632D89">
      <w:pPr>
        <w:rPr>
          <w:rFonts w:cstheme="minorHAnsi"/>
          <w:b/>
        </w:rPr>
      </w:pPr>
      <w:r w:rsidRPr="001D27C6">
        <w:rPr>
          <w:rFonts w:cstheme="minorHAnsi"/>
          <w:b/>
          <w:noProof/>
        </w:rPr>
        <mc:AlternateContent>
          <mc:Choice Requires="wps">
            <w:drawing>
              <wp:anchor distT="0" distB="0" distL="114300" distR="114300" simplePos="0" relativeHeight="251660288" behindDoc="0" locked="0" layoutInCell="1" allowOverlap="1" wp14:anchorId="12258FCC" wp14:editId="27F68835">
                <wp:simplePos x="0" y="0"/>
                <wp:positionH relativeFrom="column">
                  <wp:posOffset>86995</wp:posOffset>
                </wp:positionH>
                <wp:positionV relativeFrom="paragraph">
                  <wp:posOffset>172720</wp:posOffset>
                </wp:positionV>
                <wp:extent cx="5343525" cy="1571625"/>
                <wp:effectExtent l="19050" t="19050" r="28575" b="28575"/>
                <wp:wrapNone/>
                <wp:docPr id="12" name="Text Box 12"/>
                <wp:cNvGraphicFramePr/>
                <a:graphic xmlns:a="http://schemas.openxmlformats.org/drawingml/2006/main">
                  <a:graphicData uri="http://schemas.microsoft.com/office/word/2010/wordprocessingShape">
                    <wps:wsp>
                      <wps:cNvSpPr txBox="1"/>
                      <wps:spPr>
                        <a:xfrm>
                          <a:off x="0" y="0"/>
                          <a:ext cx="5343525" cy="1571625"/>
                        </a:xfrm>
                        <a:prstGeom prst="rect">
                          <a:avLst/>
                        </a:prstGeom>
                        <a:solidFill>
                          <a:schemeClr val="lt1"/>
                        </a:solidFill>
                        <a:ln w="34925" cmpd="thickThin">
                          <a:solidFill>
                            <a:srgbClr val="FF0000"/>
                          </a:solidFill>
                          <a:extLst>
                            <a:ext uri="{C807C97D-BFC1-408E-A445-0C87EB9F89A2}">
                              <ask:lineSketchStyleProps xmlns:ask="http://schemas.microsoft.com/office/drawing/2018/sketchyshapes">
                                <ask:type>
                                  <ask:lineSketchNone/>
                                </ask:type>
                              </ask:lineSketchStyleProps>
                            </a:ext>
                          </a:extLst>
                        </a:ln>
                      </wps:spPr>
                      <wps:txbx>
                        <w:txbxContent>
                          <w:p w14:paraId="1455FF45" w14:textId="77777777" w:rsidR="00413C78" w:rsidRPr="00A9480C" w:rsidRDefault="00413C78" w:rsidP="00A9480C">
                            <w:pPr>
                              <w:rPr>
                                <w:b/>
                              </w:rPr>
                            </w:pPr>
                            <w:r w:rsidRPr="00A9480C">
                              <w:rPr>
                                <w:b/>
                              </w:rPr>
                              <w:t>Disclaimer</w:t>
                            </w:r>
                          </w:p>
                          <w:p w14:paraId="422EA96C" w14:textId="77777777" w:rsidR="00413C78" w:rsidRDefault="00413C78" w:rsidP="00A9480C">
                            <w:r>
                              <w:t>DESFA has acted in good faith to ensure that the information in this document is correct, however no representation or warranty is made as to the accuracy or completeness of such information and DESFA will not accept any liability, of any kind, for any inaccuracies or incompleteness in such information. Furthermore, DESFA shall have no obligation to update the document for any changes arising after the date of issue. Nonetheless, if new or revised information is provided, DESFA shall have no liability to any third party.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258FCC" id="_x0000_t202" coordsize="21600,21600" o:spt="202" path="m,l,21600r21600,l21600,xe">
                <v:stroke joinstyle="miter"/>
                <v:path gradientshapeok="t" o:connecttype="rect"/>
              </v:shapetype>
              <v:shape id="Text Box 12" o:spid="_x0000_s1026" type="#_x0000_t202" style="position:absolute;margin-left:6.85pt;margin-top:13.6pt;width:420.75pt;height:1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" fillcolor="white [3201]" strokecolor="red" strokeweight="2.75pt">
                <v:stroke linestyle="thickThin"/>
                <v:textbox>
                  <w:txbxContent>
                    <w:p w14:paraId="1455FF45" w14:textId="77777777" w:rsidR="00413C78" w:rsidRPr="00A9480C" w:rsidRDefault="00413C78" w:rsidP="00A9480C">
                      <w:pPr>
                        <w:rPr>
                          <w:b/>
                        </w:rPr>
                      </w:pPr>
                      <w:r w:rsidRPr="00A9480C">
                        <w:rPr>
                          <w:b/>
                        </w:rPr>
                        <w:t>Disclaimer</w:t>
                      </w:r>
                    </w:p>
                    <w:p w14:paraId="422EA96C" w14:textId="77777777" w:rsidR="00413C78" w:rsidRDefault="00413C78" w:rsidP="00A9480C">
                      <w:r>
                        <w:t>DESFA has acted in good faith to ensure that the information in this document is correct, however no representation or warranty is made as to the accuracy or completeness of such information and DESFA will not accept any liability, of any kind, for any inaccuracies or incompleteness in such information. Furthermore, DESFA shall have no obligation to update the document for any changes arising after the date of issue. Nonetheless, if new or revised information is provided, DESFA shall have no liability to any third party.</w:t>
                      </w:r>
                    </w:p>
                  </w:txbxContent>
                </v:textbox>
              </v:shape>
            </w:pict>
          </mc:Fallback>
        </mc:AlternateContent>
      </w:r>
    </w:p>
    <w:p w14:paraId="43104D10" w14:textId="77777777" w:rsidR="00691DF1" w:rsidRPr="001D27C6" w:rsidRDefault="00691DF1" w:rsidP="00632D89">
      <w:pPr>
        <w:rPr>
          <w:rFonts w:cstheme="minorHAnsi"/>
          <w:b/>
        </w:rPr>
      </w:pPr>
    </w:p>
    <w:p w14:paraId="63694696" w14:textId="77777777" w:rsidR="00691DF1" w:rsidRPr="001D27C6" w:rsidRDefault="00691DF1" w:rsidP="00632D89">
      <w:pPr>
        <w:rPr>
          <w:rFonts w:cstheme="minorHAnsi"/>
          <w:b/>
        </w:rPr>
      </w:pPr>
    </w:p>
    <w:p w14:paraId="58C5D849" w14:textId="77777777" w:rsidR="00691DF1" w:rsidRPr="001D27C6" w:rsidRDefault="00691DF1" w:rsidP="00632D89">
      <w:pPr>
        <w:rPr>
          <w:rFonts w:cstheme="minorHAnsi"/>
          <w:b/>
        </w:rPr>
      </w:pPr>
    </w:p>
    <w:p w14:paraId="390742A9" w14:textId="77777777" w:rsidR="00691DF1" w:rsidRPr="001D27C6" w:rsidRDefault="00691DF1">
      <w:pPr>
        <w:rPr>
          <w:rFonts w:cstheme="minorHAnsi"/>
        </w:rPr>
      </w:pPr>
      <w:r w:rsidRPr="001D27C6">
        <w:rPr>
          <w:rFonts w:cstheme="minorHAnsi"/>
        </w:rPr>
        <w:br w:type="page"/>
      </w:r>
    </w:p>
    <w:p w14:paraId="66951493" w14:textId="77777777" w:rsidR="00563148" w:rsidRPr="001D27C6" w:rsidRDefault="00563148" w:rsidP="00563148">
      <w:pPr>
        <w:pStyle w:val="Headlinereport2"/>
        <w:widowControl w:val="0"/>
        <w:suppressAutoHyphens/>
        <w:spacing w:after="120" w:line="264" w:lineRule="auto"/>
        <w:ind w:right="-801"/>
        <w:rPr>
          <w:rFonts w:asciiTheme="minorHAnsi" w:hAnsiTheme="minorHAnsi" w:cstheme="minorHAnsi"/>
          <w:sz w:val="22"/>
        </w:rPr>
      </w:pPr>
      <w:r w:rsidRPr="001D27C6">
        <w:rPr>
          <w:rFonts w:asciiTheme="minorHAnsi" w:hAnsiTheme="minorHAnsi" w:cstheme="minorHAnsi"/>
          <w:sz w:val="22"/>
        </w:rPr>
        <w:lastRenderedPageBreak/>
        <w:t>Table of contents</w:t>
      </w:r>
    </w:p>
    <w:p w14:paraId="242424F6" w14:textId="2DB767F7" w:rsidR="003A3341" w:rsidRDefault="00563148">
      <w:pPr>
        <w:pStyle w:val="TOC1"/>
        <w:rPr>
          <w:rFonts w:asciiTheme="minorHAnsi" w:hAnsiTheme="minorHAnsi" w:cstheme="minorBidi"/>
          <w:noProof/>
          <w:sz w:val="22"/>
          <w:szCs w:val="22"/>
          <w:lang w:val="el-GR" w:eastAsia="el-GR"/>
        </w:rPr>
      </w:pPr>
      <w:r w:rsidRPr="001D27C6">
        <w:rPr>
          <w:rFonts w:asciiTheme="minorHAnsi" w:hAnsiTheme="minorHAnsi" w:cstheme="minorHAnsi"/>
          <w:sz w:val="22"/>
        </w:rPr>
        <w:fldChar w:fldCharType="begin"/>
      </w:r>
      <w:r w:rsidRPr="001D27C6">
        <w:rPr>
          <w:rFonts w:asciiTheme="minorHAnsi" w:hAnsiTheme="minorHAnsi" w:cstheme="minorHAnsi"/>
          <w:sz w:val="22"/>
          <w:szCs w:val="22"/>
        </w:rPr>
        <w:instrText xml:space="preserve"> TOC \o "1-3" \h \z \u </w:instrText>
      </w:r>
      <w:r w:rsidRPr="001D27C6">
        <w:rPr>
          <w:rFonts w:asciiTheme="minorHAnsi" w:hAnsiTheme="minorHAnsi" w:cstheme="minorHAnsi"/>
          <w:sz w:val="22"/>
        </w:rPr>
        <w:fldChar w:fldCharType="separate"/>
      </w:r>
      <w:hyperlink w:anchor="_Toc119485252" w:history="1">
        <w:r w:rsidR="003A3341" w:rsidRPr="00D565F5">
          <w:rPr>
            <w:rStyle w:val="Hyperlink"/>
            <w:noProof/>
          </w:rPr>
          <w:t>Article 1 – Definitions, interpretation and references</w:t>
        </w:r>
        <w:r w:rsidR="003A3341">
          <w:rPr>
            <w:noProof/>
            <w:webHidden/>
          </w:rPr>
          <w:tab/>
        </w:r>
        <w:r w:rsidR="003A3341">
          <w:rPr>
            <w:noProof/>
            <w:webHidden/>
          </w:rPr>
          <w:fldChar w:fldCharType="begin"/>
        </w:r>
        <w:r w:rsidR="003A3341">
          <w:rPr>
            <w:noProof/>
            <w:webHidden/>
          </w:rPr>
          <w:instrText xml:space="preserve"> PAGEREF _Toc119485252 \h </w:instrText>
        </w:r>
        <w:r w:rsidR="003A3341">
          <w:rPr>
            <w:noProof/>
            <w:webHidden/>
          </w:rPr>
        </w:r>
        <w:r w:rsidR="003A3341">
          <w:rPr>
            <w:noProof/>
            <w:webHidden/>
          </w:rPr>
          <w:fldChar w:fldCharType="separate"/>
        </w:r>
        <w:r w:rsidR="00D56F83">
          <w:rPr>
            <w:noProof/>
            <w:webHidden/>
          </w:rPr>
          <w:t>5</w:t>
        </w:r>
        <w:r w:rsidR="003A3341">
          <w:rPr>
            <w:noProof/>
            <w:webHidden/>
          </w:rPr>
          <w:fldChar w:fldCharType="end"/>
        </w:r>
      </w:hyperlink>
    </w:p>
    <w:p w14:paraId="19AAA6DE" w14:textId="440C6BA3" w:rsidR="003A3341" w:rsidRDefault="00000000">
      <w:pPr>
        <w:pStyle w:val="TOC1"/>
        <w:rPr>
          <w:rFonts w:asciiTheme="minorHAnsi" w:hAnsiTheme="minorHAnsi" w:cstheme="minorBidi"/>
          <w:noProof/>
          <w:sz w:val="22"/>
          <w:szCs w:val="22"/>
          <w:lang w:val="el-GR" w:eastAsia="el-GR"/>
        </w:rPr>
      </w:pPr>
      <w:hyperlink w:anchor="_Toc119485253" w:history="1">
        <w:r w:rsidR="003A3341" w:rsidRPr="00D565F5">
          <w:rPr>
            <w:rStyle w:val="Hyperlink"/>
            <w:noProof/>
          </w:rPr>
          <w:t>Article 2 - Description of the incremental capacity project and cost estimation</w:t>
        </w:r>
        <w:r w:rsidR="003A3341">
          <w:rPr>
            <w:noProof/>
            <w:webHidden/>
          </w:rPr>
          <w:tab/>
        </w:r>
        <w:r w:rsidR="003A3341">
          <w:rPr>
            <w:noProof/>
            <w:webHidden/>
          </w:rPr>
          <w:fldChar w:fldCharType="begin"/>
        </w:r>
        <w:r w:rsidR="003A3341">
          <w:rPr>
            <w:noProof/>
            <w:webHidden/>
          </w:rPr>
          <w:instrText xml:space="preserve"> PAGEREF _Toc119485253 \h </w:instrText>
        </w:r>
        <w:r w:rsidR="003A3341">
          <w:rPr>
            <w:noProof/>
            <w:webHidden/>
          </w:rPr>
        </w:r>
        <w:r w:rsidR="003A3341">
          <w:rPr>
            <w:noProof/>
            <w:webHidden/>
          </w:rPr>
          <w:fldChar w:fldCharType="separate"/>
        </w:r>
        <w:r w:rsidR="00D56F83">
          <w:rPr>
            <w:noProof/>
            <w:webHidden/>
          </w:rPr>
          <w:t>6</w:t>
        </w:r>
        <w:r w:rsidR="003A3341">
          <w:rPr>
            <w:noProof/>
            <w:webHidden/>
          </w:rPr>
          <w:fldChar w:fldCharType="end"/>
        </w:r>
      </w:hyperlink>
    </w:p>
    <w:p w14:paraId="42D060A6" w14:textId="6B2B180D" w:rsidR="003A3341" w:rsidRDefault="00000000">
      <w:pPr>
        <w:pStyle w:val="TOC1"/>
        <w:rPr>
          <w:rFonts w:asciiTheme="minorHAnsi" w:hAnsiTheme="minorHAnsi" w:cstheme="minorBidi"/>
          <w:noProof/>
          <w:sz w:val="22"/>
          <w:szCs w:val="22"/>
          <w:lang w:val="el-GR" w:eastAsia="el-GR"/>
        </w:rPr>
      </w:pPr>
      <w:hyperlink w:anchor="_Toc119485254" w:history="1">
        <w:r w:rsidR="003A3341" w:rsidRPr="00D565F5">
          <w:rPr>
            <w:rStyle w:val="Hyperlink"/>
            <w:noProof/>
          </w:rPr>
          <w:t>Article 3 - Incremental Capacity Offer Level at Nea Mesimvria IP</w:t>
        </w:r>
        <w:r w:rsidR="003A3341">
          <w:rPr>
            <w:noProof/>
            <w:webHidden/>
          </w:rPr>
          <w:tab/>
        </w:r>
        <w:r w:rsidR="003A3341">
          <w:rPr>
            <w:noProof/>
            <w:webHidden/>
          </w:rPr>
          <w:fldChar w:fldCharType="begin"/>
        </w:r>
        <w:r w:rsidR="003A3341">
          <w:rPr>
            <w:noProof/>
            <w:webHidden/>
          </w:rPr>
          <w:instrText xml:space="preserve"> PAGEREF _Toc119485254 \h </w:instrText>
        </w:r>
        <w:r w:rsidR="003A3341">
          <w:rPr>
            <w:noProof/>
            <w:webHidden/>
          </w:rPr>
        </w:r>
        <w:r w:rsidR="003A3341">
          <w:rPr>
            <w:noProof/>
            <w:webHidden/>
          </w:rPr>
          <w:fldChar w:fldCharType="separate"/>
        </w:r>
        <w:r w:rsidR="00D56F83">
          <w:rPr>
            <w:noProof/>
            <w:webHidden/>
          </w:rPr>
          <w:t>7</w:t>
        </w:r>
        <w:r w:rsidR="003A3341">
          <w:rPr>
            <w:noProof/>
            <w:webHidden/>
          </w:rPr>
          <w:fldChar w:fldCharType="end"/>
        </w:r>
      </w:hyperlink>
    </w:p>
    <w:p w14:paraId="4F189D84" w14:textId="050118E2" w:rsidR="003A3341" w:rsidRDefault="00000000">
      <w:pPr>
        <w:pStyle w:val="TOC1"/>
        <w:rPr>
          <w:rFonts w:asciiTheme="minorHAnsi" w:hAnsiTheme="minorHAnsi" w:cstheme="minorBidi"/>
          <w:noProof/>
          <w:sz w:val="22"/>
          <w:szCs w:val="22"/>
          <w:lang w:val="el-GR" w:eastAsia="el-GR"/>
        </w:rPr>
      </w:pPr>
      <w:hyperlink w:anchor="_Toc119485255" w:history="1">
        <w:r w:rsidR="003A3341" w:rsidRPr="00D565F5">
          <w:rPr>
            <w:rStyle w:val="Hyperlink"/>
            <w:noProof/>
          </w:rPr>
          <w:t>Article 4 - Provisional Timeline</w:t>
        </w:r>
        <w:r w:rsidR="003A3341">
          <w:rPr>
            <w:noProof/>
            <w:webHidden/>
          </w:rPr>
          <w:tab/>
        </w:r>
        <w:r w:rsidR="003A3341">
          <w:rPr>
            <w:noProof/>
            <w:webHidden/>
          </w:rPr>
          <w:fldChar w:fldCharType="begin"/>
        </w:r>
        <w:r w:rsidR="003A3341">
          <w:rPr>
            <w:noProof/>
            <w:webHidden/>
          </w:rPr>
          <w:instrText xml:space="preserve"> PAGEREF _Toc119485255 \h </w:instrText>
        </w:r>
        <w:r w:rsidR="003A3341">
          <w:rPr>
            <w:noProof/>
            <w:webHidden/>
          </w:rPr>
        </w:r>
        <w:r w:rsidR="003A3341">
          <w:rPr>
            <w:noProof/>
            <w:webHidden/>
          </w:rPr>
          <w:fldChar w:fldCharType="separate"/>
        </w:r>
        <w:r w:rsidR="00D56F83">
          <w:rPr>
            <w:noProof/>
            <w:webHidden/>
          </w:rPr>
          <w:t>8</w:t>
        </w:r>
        <w:r w:rsidR="003A3341">
          <w:rPr>
            <w:noProof/>
            <w:webHidden/>
          </w:rPr>
          <w:fldChar w:fldCharType="end"/>
        </w:r>
      </w:hyperlink>
    </w:p>
    <w:p w14:paraId="7E5FA94A" w14:textId="0955825F" w:rsidR="003A3341" w:rsidRDefault="00000000">
      <w:pPr>
        <w:pStyle w:val="TOC1"/>
        <w:rPr>
          <w:rFonts w:asciiTheme="minorHAnsi" w:hAnsiTheme="minorHAnsi" w:cstheme="minorBidi"/>
          <w:noProof/>
          <w:sz w:val="22"/>
          <w:szCs w:val="22"/>
          <w:lang w:val="el-GR" w:eastAsia="el-GR"/>
        </w:rPr>
      </w:pPr>
      <w:hyperlink w:anchor="_Toc119485256" w:history="1">
        <w:r w:rsidR="003A3341" w:rsidRPr="00D565F5">
          <w:rPr>
            <w:rStyle w:val="Hyperlink"/>
            <w:noProof/>
          </w:rPr>
          <w:t>Article 5 – Registration and Bid submission</w:t>
        </w:r>
        <w:r w:rsidR="003A3341">
          <w:rPr>
            <w:noProof/>
            <w:webHidden/>
          </w:rPr>
          <w:tab/>
        </w:r>
        <w:r w:rsidR="003A3341">
          <w:rPr>
            <w:noProof/>
            <w:webHidden/>
          </w:rPr>
          <w:fldChar w:fldCharType="begin"/>
        </w:r>
        <w:r w:rsidR="003A3341">
          <w:rPr>
            <w:noProof/>
            <w:webHidden/>
          </w:rPr>
          <w:instrText xml:space="preserve"> PAGEREF _Toc119485256 \h </w:instrText>
        </w:r>
        <w:r w:rsidR="003A3341">
          <w:rPr>
            <w:noProof/>
            <w:webHidden/>
          </w:rPr>
        </w:r>
        <w:r w:rsidR="003A3341">
          <w:rPr>
            <w:noProof/>
            <w:webHidden/>
          </w:rPr>
          <w:fldChar w:fldCharType="separate"/>
        </w:r>
        <w:r w:rsidR="00D56F83">
          <w:rPr>
            <w:noProof/>
            <w:webHidden/>
          </w:rPr>
          <w:t>9</w:t>
        </w:r>
        <w:r w:rsidR="003A3341">
          <w:rPr>
            <w:noProof/>
            <w:webHidden/>
          </w:rPr>
          <w:fldChar w:fldCharType="end"/>
        </w:r>
      </w:hyperlink>
    </w:p>
    <w:p w14:paraId="36EE8201" w14:textId="681F4EBC" w:rsidR="003A3341" w:rsidRDefault="00000000">
      <w:pPr>
        <w:pStyle w:val="TOC1"/>
        <w:rPr>
          <w:rFonts w:asciiTheme="minorHAnsi" w:hAnsiTheme="minorHAnsi" w:cstheme="minorBidi"/>
          <w:noProof/>
          <w:sz w:val="22"/>
          <w:szCs w:val="22"/>
          <w:lang w:val="el-GR" w:eastAsia="el-GR"/>
        </w:rPr>
      </w:pPr>
      <w:hyperlink w:anchor="_Toc119485257" w:history="1">
        <w:r w:rsidR="003A3341" w:rsidRPr="00D565F5">
          <w:rPr>
            <w:rStyle w:val="Hyperlink"/>
            <w:noProof/>
          </w:rPr>
          <w:t>Article 6 - Economic Test Parameters</w:t>
        </w:r>
        <w:r w:rsidR="003A3341">
          <w:rPr>
            <w:noProof/>
            <w:webHidden/>
          </w:rPr>
          <w:tab/>
        </w:r>
        <w:r w:rsidR="003A3341">
          <w:rPr>
            <w:noProof/>
            <w:webHidden/>
          </w:rPr>
          <w:fldChar w:fldCharType="begin"/>
        </w:r>
        <w:r w:rsidR="003A3341">
          <w:rPr>
            <w:noProof/>
            <w:webHidden/>
          </w:rPr>
          <w:instrText xml:space="preserve"> PAGEREF _Toc119485257 \h </w:instrText>
        </w:r>
        <w:r w:rsidR="003A3341">
          <w:rPr>
            <w:noProof/>
            <w:webHidden/>
          </w:rPr>
        </w:r>
        <w:r w:rsidR="003A3341">
          <w:rPr>
            <w:noProof/>
            <w:webHidden/>
          </w:rPr>
          <w:fldChar w:fldCharType="separate"/>
        </w:r>
        <w:r w:rsidR="00D56F83">
          <w:rPr>
            <w:noProof/>
            <w:webHidden/>
          </w:rPr>
          <w:t>14</w:t>
        </w:r>
        <w:r w:rsidR="003A3341">
          <w:rPr>
            <w:noProof/>
            <w:webHidden/>
          </w:rPr>
          <w:fldChar w:fldCharType="end"/>
        </w:r>
      </w:hyperlink>
    </w:p>
    <w:p w14:paraId="76FE3F98" w14:textId="1FF8F187" w:rsidR="003A3341" w:rsidRDefault="00000000">
      <w:pPr>
        <w:pStyle w:val="TOC1"/>
        <w:rPr>
          <w:rFonts w:asciiTheme="minorHAnsi" w:hAnsiTheme="minorHAnsi" w:cstheme="minorBidi"/>
          <w:noProof/>
          <w:sz w:val="22"/>
          <w:szCs w:val="22"/>
          <w:lang w:val="el-GR" w:eastAsia="el-GR"/>
        </w:rPr>
      </w:pPr>
      <w:hyperlink w:anchor="_Toc119485258" w:history="1">
        <w:r w:rsidR="003A3341" w:rsidRPr="00D565F5">
          <w:rPr>
            <w:rStyle w:val="Hyperlink"/>
            <w:noProof/>
          </w:rPr>
          <w:t>Article 7 - Capacity Allocation and GTA signing</w:t>
        </w:r>
        <w:r w:rsidR="003A3341">
          <w:rPr>
            <w:noProof/>
            <w:webHidden/>
          </w:rPr>
          <w:tab/>
        </w:r>
        <w:r w:rsidR="003A3341">
          <w:rPr>
            <w:noProof/>
            <w:webHidden/>
          </w:rPr>
          <w:fldChar w:fldCharType="begin"/>
        </w:r>
        <w:r w:rsidR="003A3341">
          <w:rPr>
            <w:noProof/>
            <w:webHidden/>
          </w:rPr>
          <w:instrText xml:space="preserve"> PAGEREF _Toc119485258 \h </w:instrText>
        </w:r>
        <w:r w:rsidR="003A3341">
          <w:rPr>
            <w:noProof/>
            <w:webHidden/>
          </w:rPr>
        </w:r>
        <w:r w:rsidR="003A3341">
          <w:rPr>
            <w:noProof/>
            <w:webHidden/>
          </w:rPr>
          <w:fldChar w:fldCharType="separate"/>
        </w:r>
        <w:r w:rsidR="00D56F83">
          <w:rPr>
            <w:noProof/>
            <w:webHidden/>
          </w:rPr>
          <w:t>14</w:t>
        </w:r>
        <w:r w:rsidR="003A3341">
          <w:rPr>
            <w:noProof/>
            <w:webHidden/>
          </w:rPr>
          <w:fldChar w:fldCharType="end"/>
        </w:r>
      </w:hyperlink>
    </w:p>
    <w:p w14:paraId="12DAA541" w14:textId="0C99B152" w:rsidR="003A3341" w:rsidRDefault="00000000">
      <w:pPr>
        <w:pStyle w:val="TOC1"/>
        <w:rPr>
          <w:rFonts w:asciiTheme="minorHAnsi" w:hAnsiTheme="minorHAnsi" w:cstheme="minorBidi"/>
          <w:noProof/>
          <w:sz w:val="22"/>
          <w:szCs w:val="22"/>
          <w:lang w:val="el-GR" w:eastAsia="el-GR"/>
        </w:rPr>
      </w:pPr>
      <w:hyperlink w:anchor="_Toc119485259" w:history="1">
        <w:r w:rsidR="003A3341" w:rsidRPr="00D565F5">
          <w:rPr>
            <w:rStyle w:val="Hyperlink"/>
            <w:noProof/>
          </w:rPr>
          <w:t>Article 8 - Notices</w:t>
        </w:r>
        <w:r w:rsidR="003A3341">
          <w:rPr>
            <w:noProof/>
            <w:webHidden/>
          </w:rPr>
          <w:tab/>
        </w:r>
        <w:r w:rsidR="003A3341">
          <w:rPr>
            <w:noProof/>
            <w:webHidden/>
          </w:rPr>
          <w:fldChar w:fldCharType="begin"/>
        </w:r>
        <w:r w:rsidR="003A3341">
          <w:rPr>
            <w:noProof/>
            <w:webHidden/>
          </w:rPr>
          <w:instrText xml:space="preserve"> PAGEREF _Toc119485259 \h </w:instrText>
        </w:r>
        <w:r w:rsidR="003A3341">
          <w:rPr>
            <w:noProof/>
            <w:webHidden/>
          </w:rPr>
        </w:r>
        <w:r w:rsidR="003A3341">
          <w:rPr>
            <w:noProof/>
            <w:webHidden/>
          </w:rPr>
          <w:fldChar w:fldCharType="separate"/>
        </w:r>
        <w:r w:rsidR="00D56F83">
          <w:rPr>
            <w:noProof/>
            <w:webHidden/>
          </w:rPr>
          <w:t>15</w:t>
        </w:r>
        <w:r w:rsidR="003A3341">
          <w:rPr>
            <w:noProof/>
            <w:webHidden/>
          </w:rPr>
          <w:fldChar w:fldCharType="end"/>
        </w:r>
      </w:hyperlink>
    </w:p>
    <w:p w14:paraId="69026BFA" w14:textId="139EE98D" w:rsidR="003A3341" w:rsidRDefault="00000000">
      <w:pPr>
        <w:pStyle w:val="TOC1"/>
        <w:rPr>
          <w:rFonts w:asciiTheme="minorHAnsi" w:hAnsiTheme="minorHAnsi" w:cstheme="minorBidi"/>
          <w:noProof/>
          <w:sz w:val="22"/>
          <w:szCs w:val="22"/>
          <w:lang w:val="el-GR" w:eastAsia="el-GR"/>
        </w:rPr>
      </w:pPr>
      <w:hyperlink w:anchor="_Toc119485260" w:history="1">
        <w:r w:rsidR="003A3341" w:rsidRPr="00D565F5">
          <w:rPr>
            <w:rStyle w:val="Hyperlink"/>
            <w:noProof/>
          </w:rPr>
          <w:t>Article 9 - Force Majeure</w:t>
        </w:r>
        <w:r w:rsidR="003A3341">
          <w:rPr>
            <w:noProof/>
            <w:webHidden/>
          </w:rPr>
          <w:tab/>
        </w:r>
        <w:r w:rsidR="003A3341">
          <w:rPr>
            <w:noProof/>
            <w:webHidden/>
          </w:rPr>
          <w:fldChar w:fldCharType="begin"/>
        </w:r>
        <w:r w:rsidR="003A3341">
          <w:rPr>
            <w:noProof/>
            <w:webHidden/>
          </w:rPr>
          <w:instrText xml:space="preserve"> PAGEREF _Toc119485260 \h </w:instrText>
        </w:r>
        <w:r w:rsidR="003A3341">
          <w:rPr>
            <w:noProof/>
            <w:webHidden/>
          </w:rPr>
        </w:r>
        <w:r w:rsidR="003A3341">
          <w:rPr>
            <w:noProof/>
            <w:webHidden/>
          </w:rPr>
          <w:fldChar w:fldCharType="separate"/>
        </w:r>
        <w:r w:rsidR="00D56F83">
          <w:rPr>
            <w:noProof/>
            <w:webHidden/>
          </w:rPr>
          <w:t>16</w:t>
        </w:r>
        <w:r w:rsidR="003A3341">
          <w:rPr>
            <w:noProof/>
            <w:webHidden/>
          </w:rPr>
          <w:fldChar w:fldCharType="end"/>
        </w:r>
      </w:hyperlink>
    </w:p>
    <w:p w14:paraId="1CF54CF5" w14:textId="0E5D0690" w:rsidR="003A3341" w:rsidRDefault="00000000">
      <w:pPr>
        <w:pStyle w:val="TOC1"/>
        <w:rPr>
          <w:rFonts w:asciiTheme="minorHAnsi" w:hAnsiTheme="minorHAnsi" w:cstheme="minorBidi"/>
          <w:noProof/>
          <w:sz w:val="22"/>
          <w:szCs w:val="22"/>
          <w:lang w:val="el-GR" w:eastAsia="el-GR"/>
        </w:rPr>
      </w:pPr>
      <w:hyperlink w:anchor="_Toc119485261" w:history="1">
        <w:r w:rsidR="003A3341" w:rsidRPr="00D565F5">
          <w:rPr>
            <w:rStyle w:val="Hyperlink"/>
            <w:noProof/>
          </w:rPr>
          <w:t>Article 10 - Liability</w:t>
        </w:r>
        <w:r w:rsidR="003A3341">
          <w:rPr>
            <w:noProof/>
            <w:webHidden/>
          </w:rPr>
          <w:tab/>
        </w:r>
        <w:r w:rsidR="003A3341">
          <w:rPr>
            <w:noProof/>
            <w:webHidden/>
          </w:rPr>
          <w:fldChar w:fldCharType="begin"/>
        </w:r>
        <w:r w:rsidR="003A3341">
          <w:rPr>
            <w:noProof/>
            <w:webHidden/>
          </w:rPr>
          <w:instrText xml:space="preserve"> PAGEREF _Toc119485261 \h </w:instrText>
        </w:r>
        <w:r w:rsidR="003A3341">
          <w:rPr>
            <w:noProof/>
            <w:webHidden/>
          </w:rPr>
        </w:r>
        <w:r w:rsidR="003A3341">
          <w:rPr>
            <w:noProof/>
            <w:webHidden/>
          </w:rPr>
          <w:fldChar w:fldCharType="separate"/>
        </w:r>
        <w:r w:rsidR="00D56F83">
          <w:rPr>
            <w:noProof/>
            <w:webHidden/>
          </w:rPr>
          <w:t>16</w:t>
        </w:r>
        <w:r w:rsidR="003A3341">
          <w:rPr>
            <w:noProof/>
            <w:webHidden/>
          </w:rPr>
          <w:fldChar w:fldCharType="end"/>
        </w:r>
      </w:hyperlink>
    </w:p>
    <w:p w14:paraId="09962581" w14:textId="7C24D21A" w:rsidR="003A3341" w:rsidRDefault="00000000">
      <w:pPr>
        <w:pStyle w:val="TOC1"/>
        <w:rPr>
          <w:rFonts w:asciiTheme="minorHAnsi" w:hAnsiTheme="minorHAnsi" w:cstheme="minorBidi"/>
          <w:noProof/>
          <w:sz w:val="22"/>
          <w:szCs w:val="22"/>
          <w:lang w:val="el-GR" w:eastAsia="el-GR"/>
        </w:rPr>
      </w:pPr>
      <w:hyperlink w:anchor="_Toc119485262" w:history="1">
        <w:r w:rsidR="003A3341" w:rsidRPr="00D565F5">
          <w:rPr>
            <w:rStyle w:val="Hyperlink"/>
            <w:noProof/>
          </w:rPr>
          <w:t xml:space="preserve">Article 11 - </w:t>
        </w:r>
        <w:r w:rsidR="003A3341" w:rsidRPr="00D565F5">
          <w:rPr>
            <w:rStyle w:val="Hyperlink"/>
            <w:rFonts w:eastAsia="Verdana,Bold"/>
            <w:noProof/>
          </w:rPr>
          <w:t>Anti-Bribery Policy</w:t>
        </w:r>
        <w:r w:rsidR="003A3341">
          <w:rPr>
            <w:noProof/>
            <w:webHidden/>
          </w:rPr>
          <w:tab/>
        </w:r>
        <w:r w:rsidR="003A3341">
          <w:rPr>
            <w:noProof/>
            <w:webHidden/>
          </w:rPr>
          <w:fldChar w:fldCharType="begin"/>
        </w:r>
        <w:r w:rsidR="003A3341">
          <w:rPr>
            <w:noProof/>
            <w:webHidden/>
          </w:rPr>
          <w:instrText xml:space="preserve"> PAGEREF _Toc119485262 \h </w:instrText>
        </w:r>
        <w:r w:rsidR="003A3341">
          <w:rPr>
            <w:noProof/>
            <w:webHidden/>
          </w:rPr>
        </w:r>
        <w:r w:rsidR="003A3341">
          <w:rPr>
            <w:noProof/>
            <w:webHidden/>
          </w:rPr>
          <w:fldChar w:fldCharType="separate"/>
        </w:r>
        <w:r w:rsidR="00D56F83">
          <w:rPr>
            <w:noProof/>
            <w:webHidden/>
          </w:rPr>
          <w:t>16</w:t>
        </w:r>
        <w:r w:rsidR="003A3341">
          <w:rPr>
            <w:noProof/>
            <w:webHidden/>
          </w:rPr>
          <w:fldChar w:fldCharType="end"/>
        </w:r>
      </w:hyperlink>
    </w:p>
    <w:p w14:paraId="602978D0" w14:textId="487EC1F3" w:rsidR="003A3341" w:rsidRDefault="00000000">
      <w:pPr>
        <w:pStyle w:val="TOC1"/>
        <w:rPr>
          <w:rFonts w:asciiTheme="minorHAnsi" w:hAnsiTheme="minorHAnsi" w:cstheme="minorBidi"/>
          <w:noProof/>
          <w:sz w:val="22"/>
          <w:szCs w:val="22"/>
          <w:lang w:val="el-GR" w:eastAsia="el-GR"/>
        </w:rPr>
      </w:pPr>
      <w:hyperlink w:anchor="_Toc119485263" w:history="1">
        <w:r w:rsidR="003A3341" w:rsidRPr="00D565F5">
          <w:rPr>
            <w:rStyle w:val="Hyperlink"/>
            <w:noProof/>
          </w:rPr>
          <w:t>Article 12 - Personal Data</w:t>
        </w:r>
        <w:r w:rsidR="003A3341">
          <w:rPr>
            <w:noProof/>
            <w:webHidden/>
          </w:rPr>
          <w:tab/>
        </w:r>
        <w:r w:rsidR="003A3341">
          <w:rPr>
            <w:noProof/>
            <w:webHidden/>
          </w:rPr>
          <w:fldChar w:fldCharType="begin"/>
        </w:r>
        <w:r w:rsidR="003A3341">
          <w:rPr>
            <w:noProof/>
            <w:webHidden/>
          </w:rPr>
          <w:instrText xml:space="preserve"> PAGEREF _Toc119485263 \h </w:instrText>
        </w:r>
        <w:r w:rsidR="003A3341">
          <w:rPr>
            <w:noProof/>
            <w:webHidden/>
          </w:rPr>
        </w:r>
        <w:r w:rsidR="003A3341">
          <w:rPr>
            <w:noProof/>
            <w:webHidden/>
          </w:rPr>
          <w:fldChar w:fldCharType="separate"/>
        </w:r>
        <w:r w:rsidR="00D56F83">
          <w:rPr>
            <w:noProof/>
            <w:webHidden/>
          </w:rPr>
          <w:t>17</w:t>
        </w:r>
        <w:r w:rsidR="003A3341">
          <w:rPr>
            <w:noProof/>
            <w:webHidden/>
          </w:rPr>
          <w:fldChar w:fldCharType="end"/>
        </w:r>
      </w:hyperlink>
    </w:p>
    <w:p w14:paraId="320CB12F" w14:textId="48B8C899" w:rsidR="003A3341" w:rsidRDefault="00000000">
      <w:pPr>
        <w:pStyle w:val="TOC1"/>
        <w:rPr>
          <w:rFonts w:asciiTheme="minorHAnsi" w:hAnsiTheme="minorHAnsi" w:cstheme="minorBidi"/>
          <w:noProof/>
          <w:sz w:val="22"/>
          <w:szCs w:val="22"/>
          <w:lang w:val="el-GR" w:eastAsia="el-GR"/>
        </w:rPr>
      </w:pPr>
      <w:hyperlink w:anchor="_Toc119485264" w:history="1">
        <w:r w:rsidR="003A3341" w:rsidRPr="00D565F5">
          <w:rPr>
            <w:rStyle w:val="Hyperlink"/>
            <w:noProof/>
          </w:rPr>
          <w:t>Article 13 - Governing Law and Dispute resolution</w:t>
        </w:r>
        <w:r w:rsidR="003A3341">
          <w:rPr>
            <w:noProof/>
            <w:webHidden/>
          </w:rPr>
          <w:tab/>
        </w:r>
        <w:r w:rsidR="003A3341">
          <w:rPr>
            <w:noProof/>
            <w:webHidden/>
          </w:rPr>
          <w:fldChar w:fldCharType="begin"/>
        </w:r>
        <w:r w:rsidR="003A3341">
          <w:rPr>
            <w:noProof/>
            <w:webHidden/>
          </w:rPr>
          <w:instrText xml:space="preserve"> PAGEREF _Toc119485264 \h </w:instrText>
        </w:r>
        <w:r w:rsidR="003A3341">
          <w:rPr>
            <w:noProof/>
            <w:webHidden/>
          </w:rPr>
        </w:r>
        <w:r w:rsidR="003A3341">
          <w:rPr>
            <w:noProof/>
            <w:webHidden/>
          </w:rPr>
          <w:fldChar w:fldCharType="separate"/>
        </w:r>
        <w:r w:rsidR="00D56F83">
          <w:rPr>
            <w:noProof/>
            <w:webHidden/>
          </w:rPr>
          <w:t>17</w:t>
        </w:r>
        <w:r w:rsidR="003A3341">
          <w:rPr>
            <w:noProof/>
            <w:webHidden/>
          </w:rPr>
          <w:fldChar w:fldCharType="end"/>
        </w:r>
      </w:hyperlink>
    </w:p>
    <w:p w14:paraId="2BF627F3" w14:textId="05EA16D0" w:rsidR="003A3341" w:rsidRDefault="00000000">
      <w:pPr>
        <w:pStyle w:val="TOC3"/>
        <w:rPr>
          <w:rFonts w:asciiTheme="minorHAnsi" w:hAnsiTheme="minorHAnsi" w:cstheme="minorBidi"/>
          <w:noProof/>
          <w:sz w:val="22"/>
          <w:szCs w:val="22"/>
          <w:lang w:val="el-GR" w:eastAsia="el-GR"/>
        </w:rPr>
      </w:pPr>
      <w:hyperlink w:anchor="_Toc119485265" w:history="1">
        <w:r w:rsidR="003A3341" w:rsidRPr="00D565F5">
          <w:rPr>
            <w:rStyle w:val="Hyperlink"/>
            <w:noProof/>
          </w:rPr>
          <w:t>Annex I - Registration Form</w:t>
        </w:r>
        <w:r w:rsidR="003A3341">
          <w:rPr>
            <w:noProof/>
            <w:webHidden/>
          </w:rPr>
          <w:tab/>
        </w:r>
        <w:r w:rsidR="003A3341">
          <w:rPr>
            <w:noProof/>
            <w:webHidden/>
          </w:rPr>
          <w:fldChar w:fldCharType="begin"/>
        </w:r>
        <w:r w:rsidR="003A3341">
          <w:rPr>
            <w:noProof/>
            <w:webHidden/>
          </w:rPr>
          <w:instrText xml:space="preserve"> PAGEREF _Toc119485265 \h </w:instrText>
        </w:r>
        <w:r w:rsidR="003A3341">
          <w:rPr>
            <w:noProof/>
            <w:webHidden/>
          </w:rPr>
        </w:r>
        <w:r w:rsidR="003A3341">
          <w:rPr>
            <w:noProof/>
            <w:webHidden/>
          </w:rPr>
          <w:fldChar w:fldCharType="separate"/>
        </w:r>
        <w:r w:rsidR="00D56F83">
          <w:rPr>
            <w:noProof/>
            <w:webHidden/>
          </w:rPr>
          <w:t>18</w:t>
        </w:r>
        <w:r w:rsidR="003A3341">
          <w:rPr>
            <w:noProof/>
            <w:webHidden/>
          </w:rPr>
          <w:fldChar w:fldCharType="end"/>
        </w:r>
      </w:hyperlink>
    </w:p>
    <w:p w14:paraId="1D6760E2" w14:textId="5D192634" w:rsidR="003A3341" w:rsidRDefault="00000000">
      <w:pPr>
        <w:pStyle w:val="TOC3"/>
        <w:rPr>
          <w:rFonts w:asciiTheme="minorHAnsi" w:hAnsiTheme="minorHAnsi" w:cstheme="minorBidi"/>
          <w:noProof/>
          <w:sz w:val="22"/>
          <w:szCs w:val="22"/>
          <w:lang w:val="el-GR" w:eastAsia="el-GR"/>
        </w:rPr>
      </w:pPr>
      <w:hyperlink w:anchor="_Toc119485266" w:history="1">
        <w:r w:rsidR="003A3341" w:rsidRPr="00D565F5">
          <w:rPr>
            <w:rStyle w:val="Hyperlink"/>
            <w:noProof/>
          </w:rPr>
          <w:t>Annex II - Binding Bid Form</w:t>
        </w:r>
        <w:r w:rsidR="003A3341">
          <w:rPr>
            <w:noProof/>
            <w:webHidden/>
          </w:rPr>
          <w:tab/>
        </w:r>
        <w:r w:rsidR="003A3341">
          <w:rPr>
            <w:noProof/>
            <w:webHidden/>
          </w:rPr>
          <w:fldChar w:fldCharType="begin"/>
        </w:r>
        <w:r w:rsidR="003A3341">
          <w:rPr>
            <w:noProof/>
            <w:webHidden/>
          </w:rPr>
          <w:instrText xml:space="preserve"> PAGEREF _Toc119485266 \h </w:instrText>
        </w:r>
        <w:r w:rsidR="003A3341">
          <w:rPr>
            <w:noProof/>
            <w:webHidden/>
          </w:rPr>
        </w:r>
        <w:r w:rsidR="003A3341">
          <w:rPr>
            <w:noProof/>
            <w:webHidden/>
          </w:rPr>
          <w:fldChar w:fldCharType="separate"/>
        </w:r>
        <w:r w:rsidR="00D56F83">
          <w:rPr>
            <w:noProof/>
            <w:webHidden/>
          </w:rPr>
          <w:t>20</w:t>
        </w:r>
        <w:r w:rsidR="003A3341">
          <w:rPr>
            <w:noProof/>
            <w:webHidden/>
          </w:rPr>
          <w:fldChar w:fldCharType="end"/>
        </w:r>
      </w:hyperlink>
    </w:p>
    <w:p w14:paraId="21FC7C25" w14:textId="050F959C" w:rsidR="003A3341" w:rsidRDefault="00000000">
      <w:pPr>
        <w:pStyle w:val="TOC3"/>
        <w:rPr>
          <w:rFonts w:asciiTheme="minorHAnsi" w:hAnsiTheme="minorHAnsi" w:cstheme="minorBidi"/>
          <w:noProof/>
          <w:sz w:val="22"/>
          <w:szCs w:val="22"/>
          <w:lang w:val="el-GR" w:eastAsia="el-GR"/>
        </w:rPr>
      </w:pPr>
      <w:hyperlink w:anchor="_Toc119485267" w:history="1">
        <w:r w:rsidR="003A3341" w:rsidRPr="00D565F5">
          <w:rPr>
            <w:rStyle w:val="Hyperlink"/>
            <w:noProof/>
          </w:rPr>
          <w:t>Annex III - Binding Bid Guarantee Form</w:t>
        </w:r>
        <w:r w:rsidR="003A3341">
          <w:rPr>
            <w:noProof/>
            <w:webHidden/>
          </w:rPr>
          <w:tab/>
        </w:r>
        <w:r w:rsidR="003A3341">
          <w:rPr>
            <w:noProof/>
            <w:webHidden/>
          </w:rPr>
          <w:fldChar w:fldCharType="begin"/>
        </w:r>
        <w:r w:rsidR="003A3341">
          <w:rPr>
            <w:noProof/>
            <w:webHidden/>
          </w:rPr>
          <w:instrText xml:space="preserve"> PAGEREF _Toc119485267 \h </w:instrText>
        </w:r>
        <w:r w:rsidR="003A3341">
          <w:rPr>
            <w:noProof/>
            <w:webHidden/>
          </w:rPr>
        </w:r>
        <w:r w:rsidR="003A3341">
          <w:rPr>
            <w:noProof/>
            <w:webHidden/>
          </w:rPr>
          <w:fldChar w:fldCharType="separate"/>
        </w:r>
        <w:r w:rsidR="00D56F83">
          <w:rPr>
            <w:noProof/>
            <w:webHidden/>
          </w:rPr>
          <w:t>23</w:t>
        </w:r>
        <w:r w:rsidR="003A3341">
          <w:rPr>
            <w:noProof/>
            <w:webHidden/>
          </w:rPr>
          <w:fldChar w:fldCharType="end"/>
        </w:r>
      </w:hyperlink>
    </w:p>
    <w:p w14:paraId="6E335A33" w14:textId="76A22D23" w:rsidR="003A3341" w:rsidRDefault="00000000">
      <w:pPr>
        <w:pStyle w:val="TOC3"/>
        <w:rPr>
          <w:rFonts w:asciiTheme="minorHAnsi" w:hAnsiTheme="minorHAnsi" w:cstheme="minorBidi"/>
          <w:noProof/>
          <w:sz w:val="22"/>
          <w:szCs w:val="22"/>
          <w:lang w:val="el-GR" w:eastAsia="el-GR"/>
        </w:rPr>
      </w:pPr>
      <w:hyperlink w:anchor="_Toc119485268" w:history="1">
        <w:r w:rsidR="003A3341" w:rsidRPr="00D565F5">
          <w:rPr>
            <w:rStyle w:val="Hyperlink"/>
            <w:noProof/>
          </w:rPr>
          <w:t>Annex IV – Legalization documents submitted with the Registration Form</w:t>
        </w:r>
        <w:r w:rsidR="003A3341">
          <w:rPr>
            <w:noProof/>
            <w:webHidden/>
          </w:rPr>
          <w:tab/>
        </w:r>
        <w:r w:rsidR="003A3341">
          <w:rPr>
            <w:noProof/>
            <w:webHidden/>
          </w:rPr>
          <w:fldChar w:fldCharType="begin"/>
        </w:r>
        <w:r w:rsidR="003A3341">
          <w:rPr>
            <w:noProof/>
            <w:webHidden/>
          </w:rPr>
          <w:instrText xml:space="preserve"> PAGEREF _Toc119485268 \h </w:instrText>
        </w:r>
        <w:r w:rsidR="003A3341">
          <w:rPr>
            <w:noProof/>
            <w:webHidden/>
          </w:rPr>
        </w:r>
        <w:r w:rsidR="003A3341">
          <w:rPr>
            <w:noProof/>
            <w:webHidden/>
          </w:rPr>
          <w:fldChar w:fldCharType="separate"/>
        </w:r>
        <w:r w:rsidR="00D56F83">
          <w:rPr>
            <w:noProof/>
            <w:webHidden/>
          </w:rPr>
          <w:t>25</w:t>
        </w:r>
        <w:r w:rsidR="003A3341">
          <w:rPr>
            <w:noProof/>
            <w:webHidden/>
          </w:rPr>
          <w:fldChar w:fldCharType="end"/>
        </w:r>
      </w:hyperlink>
    </w:p>
    <w:p w14:paraId="431850A9" w14:textId="1AA3F7E9" w:rsidR="003A3341" w:rsidRDefault="00000000">
      <w:pPr>
        <w:pStyle w:val="TOC3"/>
        <w:rPr>
          <w:rFonts w:asciiTheme="minorHAnsi" w:hAnsiTheme="minorHAnsi" w:cstheme="minorBidi"/>
          <w:noProof/>
          <w:sz w:val="22"/>
          <w:szCs w:val="22"/>
          <w:lang w:val="el-GR" w:eastAsia="el-GR"/>
        </w:rPr>
      </w:pPr>
      <w:hyperlink w:anchor="_Toc119485269" w:history="1">
        <w:r w:rsidR="003A3341" w:rsidRPr="00D565F5">
          <w:rPr>
            <w:rStyle w:val="Hyperlink"/>
            <w:noProof/>
          </w:rPr>
          <w:t>Annex V - Economic test parameters for DESFA &amp; estimated value of the annual capacity charge</w:t>
        </w:r>
        <w:r w:rsidR="003A3341">
          <w:rPr>
            <w:noProof/>
            <w:webHidden/>
          </w:rPr>
          <w:tab/>
        </w:r>
        <w:r w:rsidR="003A3341">
          <w:rPr>
            <w:noProof/>
            <w:webHidden/>
          </w:rPr>
          <w:fldChar w:fldCharType="begin"/>
        </w:r>
        <w:r w:rsidR="003A3341">
          <w:rPr>
            <w:noProof/>
            <w:webHidden/>
          </w:rPr>
          <w:instrText xml:space="preserve"> PAGEREF _Toc119485269 \h </w:instrText>
        </w:r>
        <w:r w:rsidR="003A3341">
          <w:rPr>
            <w:noProof/>
            <w:webHidden/>
          </w:rPr>
        </w:r>
        <w:r w:rsidR="003A3341">
          <w:rPr>
            <w:noProof/>
            <w:webHidden/>
          </w:rPr>
          <w:fldChar w:fldCharType="separate"/>
        </w:r>
        <w:r w:rsidR="00D56F83">
          <w:rPr>
            <w:noProof/>
            <w:webHidden/>
          </w:rPr>
          <w:t>26</w:t>
        </w:r>
        <w:r w:rsidR="003A3341">
          <w:rPr>
            <w:noProof/>
            <w:webHidden/>
          </w:rPr>
          <w:fldChar w:fldCharType="end"/>
        </w:r>
      </w:hyperlink>
    </w:p>
    <w:p w14:paraId="16DB403C" w14:textId="68C9B069" w:rsidR="003A3341" w:rsidRDefault="00000000">
      <w:pPr>
        <w:pStyle w:val="TOC3"/>
        <w:rPr>
          <w:rFonts w:asciiTheme="minorHAnsi" w:hAnsiTheme="minorHAnsi" w:cstheme="minorBidi"/>
          <w:noProof/>
          <w:sz w:val="22"/>
          <w:szCs w:val="22"/>
          <w:lang w:val="el-GR" w:eastAsia="el-GR"/>
        </w:rPr>
      </w:pPr>
      <w:hyperlink w:anchor="_Toc119485270" w:history="1">
        <w:r w:rsidR="003A3341" w:rsidRPr="00D565F5">
          <w:rPr>
            <w:rStyle w:val="Hyperlink"/>
            <w:noProof/>
          </w:rPr>
          <w:t>Annex VI - Pro-forma GTA and GTA Guarantee</w:t>
        </w:r>
        <w:r w:rsidR="003A3341">
          <w:rPr>
            <w:noProof/>
            <w:webHidden/>
          </w:rPr>
          <w:tab/>
        </w:r>
        <w:r w:rsidR="003A3341">
          <w:rPr>
            <w:noProof/>
            <w:webHidden/>
          </w:rPr>
          <w:fldChar w:fldCharType="begin"/>
        </w:r>
        <w:r w:rsidR="003A3341">
          <w:rPr>
            <w:noProof/>
            <w:webHidden/>
          </w:rPr>
          <w:instrText xml:space="preserve"> PAGEREF _Toc119485270 \h </w:instrText>
        </w:r>
        <w:r w:rsidR="003A3341">
          <w:rPr>
            <w:noProof/>
            <w:webHidden/>
          </w:rPr>
          <w:fldChar w:fldCharType="separate"/>
        </w:r>
        <w:r w:rsidR="00D56F83">
          <w:rPr>
            <w:b/>
            <w:bCs/>
            <w:noProof/>
            <w:webHidden/>
            <w:lang w:val="en-US"/>
          </w:rPr>
          <w:t>Error! Bookmark not defined.</w:t>
        </w:r>
        <w:r w:rsidR="003A3341">
          <w:rPr>
            <w:noProof/>
            <w:webHidden/>
          </w:rPr>
          <w:fldChar w:fldCharType="end"/>
        </w:r>
      </w:hyperlink>
    </w:p>
    <w:p w14:paraId="743BF34B" w14:textId="344DB48F" w:rsidR="003A3341" w:rsidRDefault="00000000">
      <w:pPr>
        <w:pStyle w:val="TOC3"/>
        <w:rPr>
          <w:rFonts w:asciiTheme="minorHAnsi" w:hAnsiTheme="minorHAnsi" w:cstheme="minorBidi"/>
          <w:noProof/>
          <w:sz w:val="22"/>
          <w:szCs w:val="22"/>
          <w:lang w:val="el-GR" w:eastAsia="el-GR"/>
        </w:rPr>
      </w:pPr>
      <w:hyperlink w:anchor="_Toc119485271" w:history="1">
        <w:r w:rsidR="003A3341" w:rsidRPr="00D565F5">
          <w:rPr>
            <w:rStyle w:val="Hyperlink"/>
            <w:noProof/>
          </w:rPr>
          <w:t>Annex VII - Non-Disclosure Agreement</w:t>
        </w:r>
        <w:r w:rsidR="003A3341">
          <w:rPr>
            <w:noProof/>
            <w:webHidden/>
          </w:rPr>
          <w:tab/>
        </w:r>
        <w:r w:rsidR="003A3341">
          <w:rPr>
            <w:noProof/>
            <w:webHidden/>
          </w:rPr>
          <w:fldChar w:fldCharType="begin"/>
        </w:r>
        <w:r w:rsidR="003A3341">
          <w:rPr>
            <w:noProof/>
            <w:webHidden/>
          </w:rPr>
          <w:instrText xml:space="preserve"> PAGEREF _Toc119485271 \h </w:instrText>
        </w:r>
        <w:r w:rsidR="003A3341">
          <w:rPr>
            <w:noProof/>
            <w:webHidden/>
          </w:rPr>
        </w:r>
        <w:r w:rsidR="003A3341">
          <w:rPr>
            <w:noProof/>
            <w:webHidden/>
          </w:rPr>
          <w:fldChar w:fldCharType="separate"/>
        </w:r>
        <w:r w:rsidR="00D56F83">
          <w:rPr>
            <w:noProof/>
            <w:webHidden/>
          </w:rPr>
          <w:t>48</w:t>
        </w:r>
        <w:r w:rsidR="003A3341">
          <w:rPr>
            <w:noProof/>
            <w:webHidden/>
          </w:rPr>
          <w:fldChar w:fldCharType="end"/>
        </w:r>
      </w:hyperlink>
    </w:p>
    <w:p w14:paraId="123BCD9A" w14:textId="3AF1789C" w:rsidR="00563148" w:rsidRPr="001D27C6" w:rsidRDefault="00563148" w:rsidP="00B75A9A">
      <w:pPr>
        <w:rPr>
          <w:rFonts w:cstheme="minorHAnsi"/>
        </w:rPr>
      </w:pPr>
      <w:r w:rsidRPr="001D27C6">
        <w:rPr>
          <w:rFonts w:cstheme="minorHAnsi"/>
          <w:b/>
        </w:rPr>
        <w:fldChar w:fldCharType="end"/>
      </w:r>
      <w:r w:rsidR="00802112" w:rsidRPr="001D27C6">
        <w:rPr>
          <w:rFonts w:cstheme="minorHAnsi"/>
        </w:rPr>
        <w:t xml:space="preserve"> </w:t>
      </w:r>
      <w:bookmarkStart w:id="2" w:name="_Toc28009882"/>
      <w:r w:rsidRPr="001D27C6">
        <w:rPr>
          <w:rFonts w:cstheme="minorHAnsi"/>
        </w:rPr>
        <w:br w:type="page"/>
      </w:r>
    </w:p>
    <w:p w14:paraId="1B4B478B" w14:textId="77777777" w:rsidR="006037DF" w:rsidRPr="007B52CF" w:rsidRDefault="006037DF" w:rsidP="007B52CF">
      <w:pPr>
        <w:widowControl w:val="0"/>
        <w:suppressAutoHyphens/>
        <w:spacing w:after="120" w:line="360" w:lineRule="auto"/>
        <w:jc w:val="both"/>
      </w:pPr>
      <w:bookmarkStart w:id="3" w:name="_Toc71289522"/>
      <w:bookmarkStart w:id="4" w:name="_Toc37333750"/>
      <w:r w:rsidRPr="007B52CF">
        <w:rPr>
          <w:rFonts w:cstheme="minorHAnsi"/>
          <w:b/>
          <w:sz w:val="24"/>
        </w:rPr>
        <w:lastRenderedPageBreak/>
        <w:t>Preamble</w:t>
      </w:r>
      <w:bookmarkEnd w:id="3"/>
    </w:p>
    <w:p w14:paraId="3204549F" w14:textId="77777777" w:rsidR="00E76083" w:rsidRPr="001D27C6" w:rsidRDefault="00E76083" w:rsidP="00E76083">
      <w:pPr>
        <w:widowControl w:val="0"/>
        <w:suppressAutoHyphens/>
        <w:spacing w:after="120" w:line="360" w:lineRule="auto"/>
        <w:jc w:val="both"/>
        <w:rPr>
          <w:rFonts w:cstheme="minorHAnsi"/>
        </w:rPr>
      </w:pPr>
      <w:r w:rsidRPr="001D27C6">
        <w:rPr>
          <w:rFonts w:cstheme="minorHAnsi"/>
        </w:rPr>
        <w:t>Considering that:</w:t>
      </w:r>
    </w:p>
    <w:p w14:paraId="6B2F2948" w14:textId="77777777" w:rsidR="00D75D0F" w:rsidRPr="00434BC6" w:rsidRDefault="006037DF">
      <w:pPr>
        <w:pStyle w:val="ListParagraph"/>
        <w:widowControl w:val="0"/>
        <w:numPr>
          <w:ilvl w:val="0"/>
          <w:numId w:val="19"/>
        </w:numPr>
        <w:suppressAutoHyphens/>
        <w:spacing w:after="120" w:line="360" w:lineRule="auto"/>
        <w:ind w:left="426" w:hanging="284"/>
        <w:jc w:val="both"/>
        <w:rPr>
          <w:rFonts w:cstheme="minorHAnsi"/>
        </w:rPr>
      </w:pPr>
      <w:r w:rsidRPr="001D27C6">
        <w:rPr>
          <w:rFonts w:cstheme="minorHAnsi"/>
        </w:rPr>
        <w:t>Commission Regulation (EU) 2017/459 of 16 March 2017 establishing a network code on Capacity Allocation mechanisms in gas transmission systems (</w:t>
      </w:r>
      <w:r w:rsidRPr="001D27C6">
        <w:rPr>
          <w:rFonts w:cstheme="minorHAnsi"/>
          <w:iCs/>
        </w:rPr>
        <w:t>Regulation</w:t>
      </w:r>
      <w:r w:rsidRPr="001D27C6">
        <w:rPr>
          <w:rFonts w:cstheme="minorHAnsi"/>
        </w:rPr>
        <w:t xml:space="preserve">, also referred to as </w:t>
      </w:r>
      <w:r w:rsidRPr="001D27C6">
        <w:rPr>
          <w:rFonts w:cstheme="minorHAnsi"/>
          <w:iCs/>
        </w:rPr>
        <w:t>CAM NC</w:t>
      </w:r>
      <w:r w:rsidRPr="001D27C6">
        <w:rPr>
          <w:rFonts w:cstheme="minorHAnsi"/>
        </w:rPr>
        <w:t xml:space="preserve"> and </w:t>
      </w:r>
      <w:r w:rsidRPr="001D27C6">
        <w:rPr>
          <w:rFonts w:cstheme="minorHAnsi"/>
          <w:iCs/>
        </w:rPr>
        <w:t>NC CAM</w:t>
      </w:r>
      <w:r w:rsidRPr="001D27C6">
        <w:rPr>
          <w:rFonts w:cstheme="minorHAnsi"/>
        </w:rPr>
        <w:t xml:space="preserve">) establishes a </w:t>
      </w:r>
      <w:r w:rsidR="00A42D1C" w:rsidRPr="001D27C6">
        <w:rPr>
          <w:rFonts w:cstheme="minorHAnsi"/>
        </w:rPr>
        <w:t>harmonized</w:t>
      </w:r>
      <w:r w:rsidRPr="001D27C6">
        <w:rPr>
          <w:rFonts w:cstheme="minorHAnsi"/>
        </w:rPr>
        <w:t xml:space="preserve"> European Union wide process for the offer of incremental capacity </w:t>
      </w:r>
      <w:r w:rsidRPr="00434BC6">
        <w:rPr>
          <w:rFonts w:cstheme="minorHAnsi"/>
        </w:rPr>
        <w:t>between Member States.</w:t>
      </w:r>
      <w:r w:rsidR="00D75D0F" w:rsidRPr="00434BC6">
        <w:rPr>
          <w:rFonts w:cstheme="minorHAnsi"/>
        </w:rPr>
        <w:t xml:space="preserve"> </w:t>
      </w:r>
    </w:p>
    <w:p w14:paraId="0B4FA0FA" w14:textId="5CB66AF9" w:rsidR="006037DF" w:rsidRPr="00D37326" w:rsidRDefault="006037DF">
      <w:pPr>
        <w:pStyle w:val="ListParagraph"/>
        <w:widowControl w:val="0"/>
        <w:numPr>
          <w:ilvl w:val="0"/>
          <w:numId w:val="19"/>
        </w:numPr>
        <w:suppressAutoHyphens/>
        <w:spacing w:after="120" w:line="360" w:lineRule="auto"/>
        <w:ind w:left="426" w:hanging="284"/>
        <w:jc w:val="both"/>
        <w:rPr>
          <w:rFonts w:cstheme="minorHAnsi"/>
        </w:rPr>
      </w:pPr>
      <w:r w:rsidRPr="00434BC6">
        <w:rPr>
          <w:rFonts w:cstheme="minorHAnsi"/>
        </w:rPr>
        <w:t xml:space="preserve">Following the launch of the Incremental Capacity Process on </w:t>
      </w:r>
      <w:r w:rsidRPr="007B52CF">
        <w:rPr>
          <w:rFonts w:cstheme="minorHAnsi"/>
        </w:rPr>
        <w:t>July 20</w:t>
      </w:r>
      <w:r w:rsidR="002C3389">
        <w:rPr>
          <w:rFonts w:cstheme="minorHAnsi"/>
        </w:rPr>
        <w:t>21</w:t>
      </w:r>
      <w:r w:rsidRPr="00434BC6">
        <w:rPr>
          <w:rFonts w:cstheme="minorHAnsi"/>
        </w:rPr>
        <w:t>, DESFA has received non-binding demand indications and produced a joint Demand Asses</w:t>
      </w:r>
      <w:r w:rsidRPr="00337F08">
        <w:rPr>
          <w:rFonts w:cstheme="minorHAnsi"/>
        </w:rPr>
        <w:t xml:space="preserve">sment Report </w:t>
      </w:r>
      <w:r w:rsidR="00CC5CD3" w:rsidRPr="00337F08">
        <w:rPr>
          <w:rFonts w:cstheme="minorHAnsi"/>
        </w:rPr>
        <w:t xml:space="preserve">(DAR), </w:t>
      </w:r>
      <w:r w:rsidRPr="00337F08">
        <w:rPr>
          <w:rFonts w:cstheme="minorHAnsi"/>
          <w:iCs/>
        </w:rPr>
        <w:t>together with TAP and SRG</w:t>
      </w:r>
      <w:r w:rsidRPr="006D68B7">
        <w:rPr>
          <w:rFonts w:cstheme="minorHAnsi"/>
        </w:rPr>
        <w:t>, which was published on the 2</w:t>
      </w:r>
      <w:r w:rsidR="00E46B16">
        <w:rPr>
          <w:rFonts w:cstheme="minorHAnsi"/>
        </w:rPr>
        <w:t>5</w:t>
      </w:r>
      <w:r w:rsidR="00E46B16">
        <w:rPr>
          <w:rFonts w:cstheme="minorHAnsi"/>
          <w:vertAlign w:val="superscript"/>
        </w:rPr>
        <w:t xml:space="preserve">th </w:t>
      </w:r>
      <w:r w:rsidRPr="006D68B7">
        <w:rPr>
          <w:rFonts w:cstheme="minorHAnsi"/>
        </w:rPr>
        <w:t>of October 20</w:t>
      </w:r>
      <w:r w:rsidR="00E46B16">
        <w:rPr>
          <w:rFonts w:cstheme="minorHAnsi"/>
        </w:rPr>
        <w:t>21</w:t>
      </w:r>
      <w:r w:rsidRPr="006D68B7">
        <w:rPr>
          <w:rFonts w:cstheme="minorHAnsi"/>
        </w:rPr>
        <w:t xml:space="preserve"> with the conclusion that there was sufficient indicative demand to initia</w:t>
      </w:r>
      <w:r w:rsidRPr="00D37326">
        <w:rPr>
          <w:rFonts w:cstheme="minorHAnsi"/>
        </w:rPr>
        <w:t>te an Incremental Capacity Project.</w:t>
      </w:r>
    </w:p>
    <w:p w14:paraId="08DF4701" w14:textId="7D0B65A3" w:rsidR="006037DF" w:rsidRPr="00E66ABD" w:rsidRDefault="006037DF">
      <w:pPr>
        <w:pStyle w:val="ListParagraph"/>
        <w:widowControl w:val="0"/>
        <w:numPr>
          <w:ilvl w:val="0"/>
          <w:numId w:val="19"/>
        </w:numPr>
        <w:suppressAutoHyphens/>
        <w:spacing w:after="120" w:line="360" w:lineRule="auto"/>
        <w:ind w:left="426" w:hanging="284"/>
        <w:jc w:val="both"/>
        <w:rPr>
          <w:rFonts w:cstheme="minorHAnsi"/>
        </w:rPr>
      </w:pPr>
      <w:r w:rsidRPr="00677269">
        <w:rPr>
          <w:rFonts w:cstheme="minorHAnsi"/>
        </w:rPr>
        <w:t>In January 202</w:t>
      </w:r>
      <w:r w:rsidR="00E46B16">
        <w:rPr>
          <w:rFonts w:cstheme="minorHAnsi"/>
        </w:rPr>
        <w:t>2</w:t>
      </w:r>
      <w:r w:rsidRPr="00677269">
        <w:rPr>
          <w:rFonts w:cstheme="minorHAnsi"/>
        </w:rPr>
        <w:t xml:space="preserve">, SRG, DESFA and TAP in accordance with the provisions set out in </w:t>
      </w:r>
      <w:r w:rsidR="007F0F4A" w:rsidRPr="007B52CF">
        <w:rPr>
          <w:rFonts w:cstheme="minorHAnsi"/>
        </w:rPr>
        <w:t>a</w:t>
      </w:r>
      <w:r w:rsidR="00E9196B" w:rsidRPr="007B52CF">
        <w:rPr>
          <w:rFonts w:cstheme="minorHAnsi"/>
        </w:rPr>
        <w:t>rticle</w:t>
      </w:r>
      <w:r w:rsidRPr="007B52CF">
        <w:rPr>
          <w:rFonts w:cstheme="minorHAnsi"/>
        </w:rPr>
        <w:t xml:space="preserve"> 27(3) of CAM NC,</w:t>
      </w:r>
      <w:r w:rsidRPr="00434BC6">
        <w:rPr>
          <w:rFonts w:cstheme="minorHAnsi"/>
        </w:rPr>
        <w:t xml:space="preserve"> jointly launched a public consultation on the draft Project Proposal</w:t>
      </w:r>
      <w:r w:rsidR="008931DD" w:rsidRPr="00434BC6">
        <w:rPr>
          <w:rFonts w:cstheme="minorHAnsi"/>
        </w:rPr>
        <w:t>,</w:t>
      </w:r>
      <w:r w:rsidRPr="00337F08">
        <w:rPr>
          <w:rFonts w:cstheme="minorHAnsi"/>
        </w:rPr>
        <w:t xml:space="preserve"> written with the </w:t>
      </w:r>
      <w:r w:rsidRPr="00E66ABD">
        <w:rPr>
          <w:rFonts w:cstheme="minorHAnsi"/>
        </w:rPr>
        <w:t>purpose to meet the received indicative non-binding demand requests.</w:t>
      </w:r>
    </w:p>
    <w:p w14:paraId="78B39CF8" w14:textId="3EA6818A" w:rsidR="00F01471" w:rsidRPr="003A3341" w:rsidRDefault="006037DF">
      <w:pPr>
        <w:pStyle w:val="ListParagraph"/>
        <w:widowControl w:val="0"/>
        <w:numPr>
          <w:ilvl w:val="0"/>
          <w:numId w:val="19"/>
        </w:numPr>
        <w:suppressAutoHyphens/>
        <w:spacing w:after="120" w:line="360" w:lineRule="auto"/>
        <w:ind w:left="426" w:hanging="284"/>
        <w:jc w:val="both"/>
        <w:rPr>
          <w:rFonts w:cstheme="minorHAnsi"/>
        </w:rPr>
      </w:pPr>
      <w:r w:rsidRPr="00E66ABD">
        <w:rPr>
          <w:rFonts w:cstheme="minorHAnsi"/>
        </w:rPr>
        <w:t xml:space="preserve">The Project Proposal has been jointly prepared by </w:t>
      </w:r>
      <w:r w:rsidR="008931DD" w:rsidRPr="00E66ABD">
        <w:rPr>
          <w:rFonts w:cstheme="minorHAnsi"/>
        </w:rPr>
        <w:t>DESFA</w:t>
      </w:r>
      <w:r w:rsidRPr="00E66ABD">
        <w:rPr>
          <w:rFonts w:cstheme="minorHAnsi"/>
        </w:rPr>
        <w:t xml:space="preserve">, TAP and </w:t>
      </w:r>
      <w:r w:rsidR="008931DD" w:rsidRPr="00E66ABD">
        <w:rPr>
          <w:rFonts w:cstheme="minorHAnsi"/>
        </w:rPr>
        <w:t xml:space="preserve">SRG </w:t>
      </w:r>
      <w:r w:rsidRPr="00E66ABD">
        <w:rPr>
          <w:rFonts w:cstheme="minorHAnsi"/>
        </w:rPr>
        <w:t xml:space="preserve">in accordance with the provisions set out in </w:t>
      </w:r>
      <w:r w:rsidR="007F0F4A" w:rsidRPr="00E66ABD">
        <w:rPr>
          <w:rFonts w:cstheme="minorHAnsi"/>
        </w:rPr>
        <w:t>a</w:t>
      </w:r>
      <w:r w:rsidR="00E9196B" w:rsidRPr="00E66ABD">
        <w:rPr>
          <w:rFonts w:cstheme="minorHAnsi"/>
        </w:rPr>
        <w:t>rticle</w:t>
      </w:r>
      <w:r w:rsidRPr="00E66ABD">
        <w:rPr>
          <w:rFonts w:cstheme="minorHAnsi"/>
        </w:rPr>
        <w:t xml:space="preserve"> 28 of the CAM NC and constitutes a Project Proposal for the Incre</w:t>
      </w:r>
      <w:r w:rsidR="008931DD" w:rsidRPr="00E66ABD">
        <w:rPr>
          <w:rFonts w:cstheme="minorHAnsi"/>
        </w:rPr>
        <w:t xml:space="preserve">mental Capacity Project of the said </w:t>
      </w:r>
      <w:r w:rsidRPr="00E66ABD">
        <w:rPr>
          <w:rFonts w:cstheme="minorHAnsi"/>
        </w:rPr>
        <w:t xml:space="preserve">TSOs. In line with the provisions of </w:t>
      </w:r>
      <w:r w:rsidR="007F0F4A" w:rsidRPr="00E66ABD">
        <w:rPr>
          <w:rFonts w:cstheme="minorHAnsi"/>
        </w:rPr>
        <w:t>a</w:t>
      </w:r>
      <w:r w:rsidR="00E9196B" w:rsidRPr="00E66ABD">
        <w:rPr>
          <w:rFonts w:cstheme="minorHAnsi"/>
        </w:rPr>
        <w:t>rticle</w:t>
      </w:r>
      <w:r w:rsidRPr="00E66ABD">
        <w:rPr>
          <w:rFonts w:cstheme="minorHAnsi"/>
        </w:rPr>
        <w:t xml:space="preserve"> 28 </w:t>
      </w:r>
      <w:r w:rsidR="00E043CE" w:rsidRPr="00E66ABD">
        <w:rPr>
          <w:rFonts w:cstheme="minorHAnsi"/>
        </w:rPr>
        <w:t xml:space="preserve">of </w:t>
      </w:r>
      <w:r w:rsidRPr="00E66ABD">
        <w:rPr>
          <w:rFonts w:cstheme="minorHAnsi"/>
        </w:rPr>
        <w:t>CAM NC</w:t>
      </w:r>
      <w:r w:rsidR="00E043CE" w:rsidRPr="00E66ABD">
        <w:rPr>
          <w:rFonts w:cstheme="minorHAnsi"/>
        </w:rPr>
        <w:t>,</w:t>
      </w:r>
      <w:r w:rsidRPr="00E66ABD">
        <w:rPr>
          <w:rFonts w:cstheme="minorHAnsi"/>
        </w:rPr>
        <w:t xml:space="preserve"> th</w:t>
      </w:r>
      <w:r w:rsidR="00E043CE" w:rsidRPr="00E66ABD">
        <w:rPr>
          <w:rFonts w:cstheme="minorHAnsi"/>
        </w:rPr>
        <w:t>e</w:t>
      </w:r>
      <w:r w:rsidRPr="00E66ABD">
        <w:rPr>
          <w:rFonts w:cstheme="minorHAnsi"/>
        </w:rPr>
        <w:t xml:space="preserve"> Project Proposal </w:t>
      </w:r>
      <w:r w:rsidR="00E043CE" w:rsidRPr="00E66ABD">
        <w:rPr>
          <w:rFonts w:cstheme="minorHAnsi"/>
        </w:rPr>
        <w:t>w</w:t>
      </w:r>
      <w:r w:rsidR="008931DD" w:rsidRPr="00E66ABD">
        <w:rPr>
          <w:rFonts w:cstheme="minorHAnsi"/>
        </w:rPr>
        <w:t>a</w:t>
      </w:r>
      <w:r w:rsidRPr="00E66ABD">
        <w:rPr>
          <w:rFonts w:cstheme="minorHAnsi"/>
        </w:rPr>
        <w:t xml:space="preserve">s submitted to the </w:t>
      </w:r>
      <w:r w:rsidR="008931DD" w:rsidRPr="00E66ABD">
        <w:rPr>
          <w:rFonts w:cstheme="minorHAnsi"/>
        </w:rPr>
        <w:t xml:space="preserve">Greek, </w:t>
      </w:r>
      <w:r w:rsidRPr="00E66ABD">
        <w:rPr>
          <w:rFonts w:cstheme="minorHAnsi"/>
        </w:rPr>
        <w:t xml:space="preserve">Italian and Albanian NRAs for their evaluations and finally </w:t>
      </w:r>
      <w:r w:rsidR="007B52CF" w:rsidRPr="00E66ABD">
        <w:rPr>
          <w:rFonts w:cstheme="minorHAnsi"/>
        </w:rPr>
        <w:t xml:space="preserve">as </w:t>
      </w:r>
      <w:r w:rsidRPr="00E66ABD">
        <w:rPr>
          <w:rFonts w:cstheme="minorHAnsi"/>
        </w:rPr>
        <w:t xml:space="preserve">approved </w:t>
      </w:r>
      <w:bookmarkEnd w:id="2"/>
      <w:bookmarkEnd w:id="4"/>
      <w:r w:rsidR="007B52CF" w:rsidRPr="00E66ABD">
        <w:rPr>
          <w:rFonts w:cstheme="minorHAnsi"/>
        </w:rPr>
        <w:t xml:space="preserve">by </w:t>
      </w:r>
      <w:r w:rsidR="00FB0480" w:rsidRPr="00E66ABD">
        <w:rPr>
          <w:rFonts w:cstheme="minorHAnsi"/>
        </w:rPr>
        <w:t xml:space="preserve">the Hellenic Regulatory Authority </w:t>
      </w:r>
      <w:r w:rsidR="00D23BF7" w:rsidRPr="00E66ABD">
        <w:rPr>
          <w:rFonts w:cstheme="minorHAnsi"/>
        </w:rPr>
        <w:t>f</w:t>
      </w:r>
      <w:r w:rsidR="00337F08" w:rsidRPr="00E66ABD">
        <w:rPr>
          <w:rFonts w:cstheme="minorHAnsi"/>
        </w:rPr>
        <w:t>or</w:t>
      </w:r>
      <w:r w:rsidR="00D23BF7" w:rsidRPr="00E66ABD">
        <w:rPr>
          <w:rFonts w:cstheme="minorHAnsi"/>
        </w:rPr>
        <w:t xml:space="preserve"> Energy </w:t>
      </w:r>
      <w:r w:rsidR="00FB0480" w:rsidRPr="00E66ABD">
        <w:rPr>
          <w:rFonts w:cstheme="minorHAnsi"/>
        </w:rPr>
        <w:t>(RAE)</w:t>
      </w:r>
      <w:r w:rsidR="007B52CF" w:rsidRPr="00E66ABD">
        <w:rPr>
          <w:rFonts w:cstheme="minorHAnsi"/>
        </w:rPr>
        <w:t xml:space="preserve"> by its </w:t>
      </w:r>
      <w:r w:rsidR="007B52CF" w:rsidRPr="003A3341">
        <w:rPr>
          <w:rFonts w:cstheme="minorHAnsi"/>
        </w:rPr>
        <w:t xml:space="preserve">Decision no </w:t>
      </w:r>
      <w:r w:rsidR="00E66ABD" w:rsidRPr="003A3341">
        <w:rPr>
          <w:rFonts w:cstheme="minorHAnsi"/>
        </w:rPr>
        <w:t>818/</w:t>
      </w:r>
      <w:r w:rsidR="007B52CF" w:rsidRPr="003A3341">
        <w:rPr>
          <w:rFonts w:cstheme="minorHAnsi"/>
        </w:rPr>
        <w:t>202</w:t>
      </w:r>
      <w:r w:rsidR="004A53D3" w:rsidRPr="003A3341">
        <w:rPr>
          <w:rFonts w:cstheme="minorHAnsi"/>
        </w:rPr>
        <w:t>2</w:t>
      </w:r>
      <w:r w:rsidR="00FB0480" w:rsidRPr="003A3341">
        <w:rPr>
          <w:rFonts w:cstheme="minorHAnsi"/>
        </w:rPr>
        <w:t>.</w:t>
      </w:r>
    </w:p>
    <w:p w14:paraId="1D99CB5C" w14:textId="4F877D6D" w:rsidR="00563148" w:rsidRPr="003F7C5E" w:rsidRDefault="00BF4593">
      <w:pPr>
        <w:pStyle w:val="ListParagraph"/>
        <w:widowControl w:val="0"/>
        <w:numPr>
          <w:ilvl w:val="0"/>
          <w:numId w:val="19"/>
        </w:numPr>
        <w:suppressAutoHyphens/>
        <w:spacing w:after="120" w:line="360" w:lineRule="auto"/>
        <w:ind w:left="426"/>
        <w:jc w:val="both"/>
        <w:rPr>
          <w:rFonts w:cstheme="minorHAnsi"/>
        </w:rPr>
      </w:pPr>
      <w:proofErr w:type="gramStart"/>
      <w:r w:rsidRPr="00E66ABD">
        <w:rPr>
          <w:rFonts w:cstheme="minorHAnsi"/>
        </w:rPr>
        <w:t>For the purpose of</w:t>
      </w:r>
      <w:proofErr w:type="gramEnd"/>
      <w:r w:rsidRPr="00E66ABD">
        <w:rPr>
          <w:rFonts w:cstheme="minorHAnsi"/>
        </w:rPr>
        <w:t xml:space="preserve"> </w:t>
      </w:r>
      <w:r w:rsidR="00D52B5C" w:rsidRPr="00E66ABD">
        <w:rPr>
          <w:rFonts w:cstheme="minorHAnsi"/>
        </w:rPr>
        <w:t xml:space="preserve">this </w:t>
      </w:r>
      <w:r w:rsidRPr="00E66ABD">
        <w:rPr>
          <w:rFonts w:cstheme="minorHAnsi"/>
        </w:rPr>
        <w:t xml:space="preserve">Binding Phase Notice, the Incremental Capacity Process concerns </w:t>
      </w:r>
      <w:proofErr w:type="spellStart"/>
      <w:r w:rsidRPr="00E66ABD">
        <w:rPr>
          <w:rFonts w:cstheme="minorHAnsi"/>
        </w:rPr>
        <w:t>Nea</w:t>
      </w:r>
      <w:proofErr w:type="spellEnd"/>
      <w:r w:rsidRPr="006D68B7">
        <w:rPr>
          <w:rFonts w:cstheme="minorHAnsi"/>
        </w:rPr>
        <w:t xml:space="preserve"> Mesimvria</w:t>
      </w:r>
      <w:r w:rsidRPr="00D37326" w:rsidDel="00BF4593">
        <w:rPr>
          <w:rFonts w:cstheme="minorHAnsi"/>
        </w:rPr>
        <w:t xml:space="preserve"> </w:t>
      </w:r>
      <w:r w:rsidR="007A1DE0" w:rsidRPr="00677269">
        <w:rPr>
          <w:rFonts w:cstheme="minorHAnsi"/>
        </w:rPr>
        <w:t>Interconnection Point</w:t>
      </w:r>
      <w:r w:rsidR="00563148" w:rsidRPr="00BD5E1A" w:rsidDel="006C52EB">
        <w:rPr>
          <w:rFonts w:cstheme="minorHAnsi"/>
        </w:rPr>
        <w:t xml:space="preserve"> </w:t>
      </w:r>
      <w:r w:rsidR="007A1DE0" w:rsidRPr="00EA70A1">
        <w:rPr>
          <w:rFonts w:cstheme="minorHAnsi"/>
        </w:rPr>
        <w:t>where incremental capacity is offered jointly by DESFA and TAP as bundled capacity.</w:t>
      </w:r>
    </w:p>
    <w:p w14:paraId="301B463D" w14:textId="77777777" w:rsidR="00DC316C" w:rsidRPr="001D27C6" w:rsidRDefault="00DC316C" w:rsidP="00DC316C">
      <w:pPr>
        <w:widowControl w:val="0"/>
        <w:suppressAutoHyphens/>
        <w:spacing w:after="120"/>
        <w:rPr>
          <w:rFonts w:cstheme="minorHAnsi"/>
        </w:rPr>
      </w:pPr>
      <w:bookmarkStart w:id="5" w:name="_Toc28009883"/>
      <w:bookmarkStart w:id="6" w:name="_Toc37333751"/>
    </w:p>
    <w:p w14:paraId="21626662" w14:textId="77777777" w:rsidR="00DC316C" w:rsidRPr="001D27C6" w:rsidRDefault="003D5005" w:rsidP="009553BC">
      <w:pPr>
        <w:pStyle w:val="Heading1"/>
        <w:spacing w:after="160"/>
      </w:pPr>
      <w:bookmarkStart w:id="7" w:name="_Toc58000398"/>
      <w:bookmarkStart w:id="8" w:name="_Toc71289523"/>
      <w:bookmarkStart w:id="9" w:name="_Toc119485252"/>
      <w:r w:rsidRPr="001D27C6">
        <w:t xml:space="preserve">Article </w:t>
      </w:r>
      <w:r w:rsidR="00423E48" w:rsidRPr="001D27C6">
        <w:t>1</w:t>
      </w:r>
      <w:r w:rsidRPr="001D27C6">
        <w:t xml:space="preserve"> </w:t>
      </w:r>
      <w:r w:rsidR="007D0176" w:rsidRPr="001D27C6">
        <w:t>–</w:t>
      </w:r>
      <w:r w:rsidRPr="001D27C6">
        <w:t xml:space="preserve"> </w:t>
      </w:r>
      <w:r w:rsidR="00DC316C" w:rsidRPr="001D27C6">
        <w:t>Definitions</w:t>
      </w:r>
      <w:bookmarkEnd w:id="7"/>
      <w:bookmarkEnd w:id="8"/>
      <w:r w:rsidR="00AA28AC" w:rsidRPr="001D27C6">
        <w:t>,</w:t>
      </w:r>
      <w:r w:rsidR="007D0176" w:rsidRPr="001D27C6">
        <w:t xml:space="preserve"> </w:t>
      </w:r>
      <w:r w:rsidR="00AA28AC" w:rsidRPr="001D27C6">
        <w:t>interpretation and references</w:t>
      </w:r>
      <w:bookmarkEnd w:id="9"/>
    </w:p>
    <w:p w14:paraId="56FE775F" w14:textId="1F421500" w:rsidR="007E1C00" w:rsidRPr="001D27C6" w:rsidRDefault="00DC316C">
      <w:pPr>
        <w:pStyle w:val="ListParagraph"/>
        <w:widowControl w:val="0"/>
        <w:numPr>
          <w:ilvl w:val="1"/>
          <w:numId w:val="36"/>
        </w:numPr>
        <w:suppressAutoHyphens/>
        <w:spacing w:after="120" w:line="360" w:lineRule="auto"/>
        <w:jc w:val="both"/>
        <w:rPr>
          <w:rFonts w:cstheme="minorHAnsi"/>
        </w:rPr>
      </w:pPr>
      <w:r w:rsidRPr="001D27C6">
        <w:rPr>
          <w:rFonts w:cstheme="minorHAnsi"/>
        </w:rPr>
        <w:t xml:space="preserve">All capitalized terms in this </w:t>
      </w:r>
      <w:r w:rsidR="002F1356" w:rsidRPr="001D27C6">
        <w:rPr>
          <w:rFonts w:cstheme="minorHAnsi"/>
        </w:rPr>
        <w:t xml:space="preserve">Binding Phase </w:t>
      </w:r>
      <w:r w:rsidRPr="001D27C6">
        <w:rPr>
          <w:rFonts w:cstheme="minorHAnsi"/>
        </w:rPr>
        <w:t>Notice</w:t>
      </w:r>
      <w:r w:rsidR="004D218C" w:rsidRPr="001D27C6">
        <w:rPr>
          <w:rFonts w:cstheme="minorHAnsi"/>
        </w:rPr>
        <w:t>, unless otherwise stipulated herein, shall</w:t>
      </w:r>
      <w:r w:rsidRPr="001D27C6">
        <w:rPr>
          <w:rFonts w:cstheme="minorHAnsi"/>
        </w:rPr>
        <w:t xml:space="preserve"> have the meaning provided for in the Project Proposal and the</w:t>
      </w:r>
      <w:r w:rsidR="003D3AE0" w:rsidRPr="001D27C6">
        <w:rPr>
          <w:rFonts w:cstheme="minorHAnsi"/>
        </w:rPr>
        <w:t xml:space="preserve"> </w:t>
      </w:r>
      <w:r w:rsidR="00947852" w:rsidRPr="001D27C6">
        <w:rPr>
          <w:rFonts w:cstheme="minorHAnsi"/>
        </w:rPr>
        <w:t xml:space="preserve">Form of Gas Transportation Agreement </w:t>
      </w:r>
      <w:r w:rsidR="00B50298" w:rsidRPr="001D27C6">
        <w:rPr>
          <w:rFonts w:cstheme="minorHAnsi"/>
        </w:rPr>
        <w:t xml:space="preserve">as </w:t>
      </w:r>
      <w:r w:rsidR="00947852" w:rsidRPr="001D27C6">
        <w:rPr>
          <w:rFonts w:cstheme="minorHAnsi"/>
        </w:rPr>
        <w:t xml:space="preserve">approved </w:t>
      </w:r>
      <w:r w:rsidR="00D35484" w:rsidRPr="001D27C6">
        <w:rPr>
          <w:rFonts w:cstheme="minorHAnsi"/>
        </w:rPr>
        <w:t>by</w:t>
      </w:r>
      <w:r w:rsidR="00947852" w:rsidRPr="001D27C6">
        <w:rPr>
          <w:rFonts w:cstheme="minorHAnsi"/>
        </w:rPr>
        <w:t xml:space="preserve"> </w:t>
      </w:r>
      <w:r w:rsidR="009054E8" w:rsidRPr="001D27C6">
        <w:rPr>
          <w:rFonts w:cstheme="minorHAnsi"/>
        </w:rPr>
        <w:t>Hellenic Regulatory Authority for En</w:t>
      </w:r>
      <w:r w:rsidR="009054E8" w:rsidRPr="00DE17F7">
        <w:rPr>
          <w:rFonts w:cstheme="minorHAnsi"/>
        </w:rPr>
        <w:t>ergy (</w:t>
      </w:r>
      <w:r w:rsidR="007F0F4A" w:rsidRPr="007B52CF">
        <w:rPr>
          <w:rFonts w:cstheme="minorHAnsi"/>
        </w:rPr>
        <w:t>RAE</w:t>
      </w:r>
      <w:r w:rsidR="009054E8" w:rsidRPr="007B52CF">
        <w:rPr>
          <w:rFonts w:cstheme="minorHAnsi"/>
        </w:rPr>
        <w:t>)</w:t>
      </w:r>
      <w:r w:rsidR="009054E8" w:rsidRPr="007B52CF">
        <w:rPr>
          <w:rStyle w:val="FootnoteReference"/>
          <w:rFonts w:cstheme="minorHAnsi"/>
        </w:rPr>
        <w:footnoteReference w:id="2"/>
      </w:r>
      <w:r w:rsidR="003D3AE0" w:rsidRPr="007B52CF">
        <w:rPr>
          <w:rFonts w:cstheme="minorHAnsi"/>
        </w:rPr>
        <w:t xml:space="preserve"> (Annex </w:t>
      </w:r>
      <w:r w:rsidR="00337F08" w:rsidRPr="007B52CF">
        <w:rPr>
          <w:rFonts w:cstheme="minorHAnsi"/>
        </w:rPr>
        <w:t>VI</w:t>
      </w:r>
      <w:r w:rsidR="003D3AE0" w:rsidRPr="007B52CF">
        <w:rPr>
          <w:rFonts w:cstheme="minorHAnsi"/>
        </w:rPr>
        <w:t>)</w:t>
      </w:r>
      <w:r w:rsidR="009A30A6" w:rsidRPr="007B52CF">
        <w:rPr>
          <w:rFonts w:cstheme="minorHAnsi"/>
        </w:rPr>
        <w:t xml:space="preserve"> and </w:t>
      </w:r>
      <w:r w:rsidR="003222CB" w:rsidRPr="007B52CF">
        <w:rPr>
          <w:rFonts w:cstheme="minorHAnsi"/>
        </w:rPr>
        <w:t xml:space="preserve">in </w:t>
      </w:r>
      <w:r w:rsidR="009A30A6" w:rsidRPr="007B52CF">
        <w:rPr>
          <w:rFonts w:cstheme="minorHAnsi"/>
        </w:rPr>
        <w:t xml:space="preserve">the National Natural </w:t>
      </w:r>
      <w:r w:rsidR="003222CB" w:rsidRPr="007B52CF">
        <w:rPr>
          <w:rFonts w:cstheme="minorHAnsi"/>
        </w:rPr>
        <w:t>Gas System Network Code (</w:t>
      </w:r>
      <w:r w:rsidR="00970B8B" w:rsidRPr="00970B8B">
        <w:rPr>
          <w:rFonts w:cstheme="minorHAnsi"/>
        </w:rPr>
        <w:t>Government Gazette B 4269/11.08.2022</w:t>
      </w:r>
      <w:r w:rsidR="003222CB" w:rsidRPr="007B52CF">
        <w:rPr>
          <w:rFonts w:cstheme="minorHAnsi"/>
        </w:rPr>
        <w:t>)</w:t>
      </w:r>
      <w:r w:rsidR="00AA5838">
        <w:rPr>
          <w:rFonts w:cstheme="minorHAnsi"/>
        </w:rPr>
        <w:t xml:space="preserve"> as amended and in force</w:t>
      </w:r>
      <w:r w:rsidRPr="007B52CF">
        <w:rPr>
          <w:rFonts w:cstheme="minorHAnsi"/>
        </w:rPr>
        <w:t>.</w:t>
      </w:r>
      <w:r w:rsidRPr="001D27C6">
        <w:rPr>
          <w:rFonts w:cstheme="minorHAnsi"/>
        </w:rPr>
        <w:t xml:space="preserve"> </w:t>
      </w:r>
    </w:p>
    <w:p w14:paraId="7B365312" w14:textId="77777777" w:rsidR="00DC316C" w:rsidRPr="001D27C6" w:rsidRDefault="00C34A47">
      <w:pPr>
        <w:pStyle w:val="ListParagraph"/>
        <w:widowControl w:val="0"/>
        <w:numPr>
          <w:ilvl w:val="1"/>
          <w:numId w:val="36"/>
        </w:numPr>
        <w:suppressAutoHyphens/>
        <w:spacing w:after="120" w:line="360" w:lineRule="auto"/>
        <w:jc w:val="both"/>
        <w:rPr>
          <w:rFonts w:cstheme="minorHAnsi"/>
        </w:rPr>
      </w:pPr>
      <w:r w:rsidRPr="001D27C6">
        <w:rPr>
          <w:rFonts w:cstheme="minorHAnsi"/>
        </w:rPr>
        <w:t xml:space="preserve">Present </w:t>
      </w:r>
      <w:r w:rsidR="00B9641B" w:rsidRPr="001D27C6">
        <w:rPr>
          <w:rFonts w:cstheme="minorHAnsi"/>
        </w:rPr>
        <w:t xml:space="preserve">Binding Phase Notice </w:t>
      </w:r>
      <w:r w:rsidR="006C00A2" w:rsidRPr="001D27C6">
        <w:rPr>
          <w:rFonts w:cstheme="minorHAnsi"/>
        </w:rPr>
        <w:t xml:space="preserve">prepared and published by DESFA, is considered as integral part </w:t>
      </w:r>
      <w:r w:rsidR="006C00A2" w:rsidRPr="001D27C6">
        <w:rPr>
          <w:rFonts w:cstheme="minorHAnsi"/>
        </w:rPr>
        <w:lastRenderedPageBreak/>
        <w:t xml:space="preserve">of the Joint Notice prepared and published jointly by DESFA, TAP and SRG. Each </w:t>
      </w:r>
      <w:r w:rsidR="00B9641B" w:rsidRPr="001D27C6">
        <w:rPr>
          <w:rFonts w:cstheme="minorHAnsi"/>
        </w:rPr>
        <w:t xml:space="preserve">reference to the Joint Notice must be considered as a reference to </w:t>
      </w:r>
      <w:r w:rsidRPr="001D27C6">
        <w:rPr>
          <w:rFonts w:cstheme="minorHAnsi"/>
        </w:rPr>
        <w:t xml:space="preserve">this </w:t>
      </w:r>
      <w:r w:rsidR="00B9641B" w:rsidRPr="001D27C6">
        <w:rPr>
          <w:rFonts w:cstheme="minorHAnsi"/>
        </w:rPr>
        <w:t>Binding Phase Notice too.</w:t>
      </w:r>
    </w:p>
    <w:p w14:paraId="6E1DD864" w14:textId="77777777" w:rsidR="000B489A" w:rsidRPr="001D27C6" w:rsidRDefault="000B489A">
      <w:pPr>
        <w:pStyle w:val="ListParagraph"/>
        <w:widowControl w:val="0"/>
        <w:numPr>
          <w:ilvl w:val="1"/>
          <w:numId w:val="36"/>
        </w:numPr>
        <w:suppressAutoHyphens/>
        <w:spacing w:after="120" w:line="360" w:lineRule="auto"/>
        <w:jc w:val="both"/>
        <w:rPr>
          <w:rFonts w:cstheme="minorHAnsi"/>
        </w:rPr>
      </w:pPr>
      <w:r w:rsidRPr="001D27C6">
        <w:rPr>
          <w:rFonts w:cstheme="minorHAnsi"/>
        </w:rPr>
        <w:t xml:space="preserve">The </w:t>
      </w:r>
      <w:r w:rsidR="00F8496B" w:rsidRPr="001D27C6">
        <w:rPr>
          <w:rFonts w:cstheme="minorHAnsi"/>
        </w:rPr>
        <w:t>Binding Phase Notice</w:t>
      </w:r>
      <w:r w:rsidRPr="001D27C6">
        <w:rPr>
          <w:rFonts w:cstheme="minorHAnsi"/>
        </w:rPr>
        <w:t xml:space="preserve"> </w:t>
      </w:r>
      <w:r w:rsidR="00C34A47" w:rsidRPr="001D27C6">
        <w:rPr>
          <w:rFonts w:cstheme="minorHAnsi"/>
        </w:rPr>
        <w:t xml:space="preserve">of DESFA </w:t>
      </w:r>
      <w:r w:rsidRPr="001D27C6">
        <w:rPr>
          <w:rFonts w:cstheme="minorHAnsi"/>
        </w:rPr>
        <w:t xml:space="preserve">is made up of the </w:t>
      </w:r>
      <w:r w:rsidR="00392E43" w:rsidRPr="001D27C6">
        <w:rPr>
          <w:rFonts w:cstheme="minorHAnsi"/>
        </w:rPr>
        <w:t>notice</w:t>
      </w:r>
      <w:r w:rsidRPr="001D27C6">
        <w:rPr>
          <w:rFonts w:cstheme="minorHAnsi"/>
        </w:rPr>
        <w:t xml:space="preserve"> and its Annexes</w:t>
      </w:r>
      <w:r w:rsidR="00F64535" w:rsidRPr="001D27C6">
        <w:rPr>
          <w:rFonts w:cstheme="minorHAnsi"/>
        </w:rPr>
        <w:t>, that</w:t>
      </w:r>
      <w:r w:rsidRPr="001D27C6">
        <w:rPr>
          <w:rFonts w:cstheme="minorHAnsi"/>
        </w:rPr>
        <w:t xml:space="preserve"> constitute</w:t>
      </w:r>
      <w:r w:rsidR="00F64535" w:rsidRPr="001D27C6">
        <w:rPr>
          <w:rFonts w:cstheme="minorHAnsi"/>
        </w:rPr>
        <w:t>s</w:t>
      </w:r>
      <w:r w:rsidRPr="001D27C6">
        <w:rPr>
          <w:rFonts w:cstheme="minorHAnsi"/>
        </w:rPr>
        <w:t xml:space="preserve"> an integral part of</w:t>
      </w:r>
      <w:r w:rsidR="00F8496B" w:rsidRPr="001D27C6">
        <w:rPr>
          <w:rFonts w:cstheme="minorHAnsi"/>
        </w:rPr>
        <w:t xml:space="preserve"> </w:t>
      </w:r>
      <w:r w:rsidR="00C34A47" w:rsidRPr="001D27C6">
        <w:rPr>
          <w:rFonts w:cstheme="minorHAnsi"/>
        </w:rPr>
        <w:t>this</w:t>
      </w:r>
      <w:r w:rsidR="00F8496B" w:rsidRPr="001D27C6">
        <w:rPr>
          <w:rFonts w:cstheme="minorHAnsi"/>
        </w:rPr>
        <w:t xml:space="preserve"> Binding Phase Notice</w:t>
      </w:r>
      <w:r w:rsidRPr="001D27C6">
        <w:rPr>
          <w:rFonts w:cstheme="minorHAnsi"/>
        </w:rPr>
        <w:t>.</w:t>
      </w:r>
    </w:p>
    <w:p w14:paraId="0A03621A" w14:textId="579A5914" w:rsidR="003325C1" w:rsidRPr="00A50537" w:rsidRDefault="004B01AB">
      <w:pPr>
        <w:pStyle w:val="ListParagraph"/>
        <w:widowControl w:val="0"/>
        <w:numPr>
          <w:ilvl w:val="1"/>
          <w:numId w:val="36"/>
        </w:numPr>
        <w:suppressAutoHyphens/>
        <w:spacing w:after="120" w:line="360" w:lineRule="auto"/>
        <w:jc w:val="both"/>
        <w:rPr>
          <w:rStyle w:val="CommentReference"/>
          <w:rFonts w:cstheme="minorHAnsi"/>
          <w:sz w:val="22"/>
          <w:szCs w:val="22"/>
        </w:rPr>
      </w:pPr>
      <w:r w:rsidRPr="001D27C6">
        <w:rPr>
          <w:rFonts w:cstheme="minorHAnsi"/>
        </w:rPr>
        <w:t xml:space="preserve">References in this Binding Phase Notice to Articles and Annexes are to Articles and Annexes of </w:t>
      </w:r>
      <w:r w:rsidR="007604B0" w:rsidRPr="007604B0">
        <w:rPr>
          <w:rFonts w:cstheme="minorHAnsi"/>
        </w:rPr>
        <w:t>the Binding Phase Notice</w:t>
      </w:r>
      <w:r w:rsidRPr="001D27C6">
        <w:rPr>
          <w:rFonts w:cstheme="minorHAnsi"/>
        </w:rPr>
        <w:t>.</w:t>
      </w:r>
    </w:p>
    <w:p w14:paraId="57584914" w14:textId="77777777" w:rsidR="00A50537" w:rsidRPr="001D27C6" w:rsidRDefault="00A50537" w:rsidP="00A50537">
      <w:pPr>
        <w:pStyle w:val="ListParagraph"/>
        <w:widowControl w:val="0"/>
        <w:suppressAutoHyphens/>
        <w:spacing w:after="120" w:line="360" w:lineRule="auto"/>
        <w:ind w:left="786"/>
        <w:jc w:val="both"/>
        <w:rPr>
          <w:rFonts w:cstheme="minorHAnsi"/>
        </w:rPr>
      </w:pPr>
    </w:p>
    <w:p w14:paraId="3ED736F8" w14:textId="77777777" w:rsidR="00563148" w:rsidRPr="001D27C6" w:rsidRDefault="003D5005" w:rsidP="009553BC">
      <w:pPr>
        <w:pStyle w:val="Heading1"/>
        <w:spacing w:after="160"/>
      </w:pPr>
      <w:bookmarkStart w:id="10" w:name="_Toc71289524"/>
      <w:bookmarkStart w:id="11" w:name="_Toc119485253"/>
      <w:r w:rsidRPr="001D27C6">
        <w:t xml:space="preserve">Article </w:t>
      </w:r>
      <w:r w:rsidR="00423E48" w:rsidRPr="001D27C6">
        <w:t>2</w:t>
      </w:r>
      <w:r w:rsidRPr="001D27C6">
        <w:t xml:space="preserve"> - </w:t>
      </w:r>
      <w:r w:rsidR="00563148" w:rsidRPr="001D27C6">
        <w:t>Description of the incremental capacity project and cost estimat</w:t>
      </w:r>
      <w:bookmarkStart w:id="12" w:name="_Toc495577430"/>
      <w:bookmarkStart w:id="13" w:name="_Toc495580381"/>
      <w:bookmarkStart w:id="14" w:name="_Ref495572148"/>
      <w:bookmarkEnd w:id="5"/>
      <w:bookmarkEnd w:id="6"/>
      <w:bookmarkEnd w:id="12"/>
      <w:bookmarkEnd w:id="13"/>
      <w:r w:rsidR="0051019C" w:rsidRPr="001D27C6">
        <w:t>ion</w:t>
      </w:r>
      <w:bookmarkEnd w:id="10"/>
      <w:bookmarkEnd w:id="11"/>
    </w:p>
    <w:p w14:paraId="6164926C" w14:textId="3CCDB055" w:rsidR="00336F71" w:rsidRPr="001D27C6" w:rsidRDefault="009E665A">
      <w:pPr>
        <w:pStyle w:val="ListParagraph"/>
        <w:widowControl w:val="0"/>
        <w:numPr>
          <w:ilvl w:val="1"/>
          <w:numId w:val="22"/>
        </w:numPr>
        <w:suppressAutoHyphens/>
        <w:spacing w:after="120" w:line="360" w:lineRule="auto"/>
        <w:ind w:left="426" w:hanging="568"/>
        <w:jc w:val="both"/>
        <w:rPr>
          <w:rFonts w:cstheme="minorHAnsi"/>
        </w:rPr>
      </w:pPr>
      <w:bookmarkStart w:id="15" w:name="_Toc495577431"/>
      <w:bookmarkStart w:id="16" w:name="_Toc495580382"/>
      <w:bookmarkEnd w:id="14"/>
      <w:bookmarkEnd w:id="15"/>
      <w:bookmarkEnd w:id="16"/>
      <w:proofErr w:type="spellStart"/>
      <w:r w:rsidRPr="001D27C6">
        <w:rPr>
          <w:rFonts w:cstheme="minorHAnsi"/>
        </w:rPr>
        <w:t>Nea</w:t>
      </w:r>
      <w:proofErr w:type="spellEnd"/>
      <w:r w:rsidRPr="001D27C6">
        <w:rPr>
          <w:rFonts w:cstheme="minorHAnsi"/>
        </w:rPr>
        <w:t xml:space="preserve"> </w:t>
      </w:r>
      <w:r w:rsidR="00317B81" w:rsidRPr="001D27C6">
        <w:rPr>
          <w:rFonts w:cstheme="minorHAnsi"/>
        </w:rPr>
        <w:t>Mesimvria</w:t>
      </w:r>
      <w:r w:rsidRPr="001D27C6">
        <w:rPr>
          <w:rFonts w:cstheme="minorHAnsi"/>
        </w:rPr>
        <w:t xml:space="preserve"> </w:t>
      </w:r>
      <w:r w:rsidR="004D218C" w:rsidRPr="001D27C6">
        <w:rPr>
          <w:rFonts w:cstheme="minorHAnsi"/>
        </w:rPr>
        <w:t>Interconnection Point</w:t>
      </w:r>
      <w:r w:rsidR="00072A3F" w:rsidRPr="001D27C6">
        <w:rPr>
          <w:rFonts w:cstheme="minorHAnsi"/>
        </w:rPr>
        <w:t xml:space="preserve"> </w:t>
      </w:r>
      <w:r w:rsidR="00EB7A7F" w:rsidRPr="001D27C6">
        <w:rPr>
          <w:rFonts w:cstheme="minorHAnsi"/>
        </w:rPr>
        <w:t>(hereinafter</w:t>
      </w:r>
      <w:r w:rsidR="00AB5303" w:rsidRPr="001D27C6">
        <w:rPr>
          <w:rFonts w:cstheme="minorHAnsi"/>
        </w:rPr>
        <w:t xml:space="preserve"> the</w:t>
      </w:r>
      <w:r w:rsidR="00EB7A7F" w:rsidRPr="001D27C6">
        <w:rPr>
          <w:rFonts w:cstheme="minorHAnsi"/>
        </w:rPr>
        <w:t xml:space="preserve"> </w:t>
      </w:r>
      <w:proofErr w:type="spellStart"/>
      <w:r w:rsidR="00EB7A7F" w:rsidRPr="001D27C6">
        <w:rPr>
          <w:rFonts w:cstheme="minorHAnsi"/>
        </w:rPr>
        <w:t>Nea</w:t>
      </w:r>
      <w:proofErr w:type="spellEnd"/>
      <w:r w:rsidR="00EB7A7F" w:rsidRPr="001D27C6">
        <w:rPr>
          <w:rFonts w:cstheme="minorHAnsi"/>
        </w:rPr>
        <w:t xml:space="preserve"> Mesimvria IP) </w:t>
      </w:r>
      <w:r w:rsidRPr="001D27C6">
        <w:rPr>
          <w:rFonts w:cstheme="minorHAnsi"/>
        </w:rPr>
        <w:t xml:space="preserve">connects the </w:t>
      </w:r>
      <w:r w:rsidR="00EB7A7F" w:rsidRPr="001D27C6">
        <w:rPr>
          <w:rFonts w:cstheme="minorHAnsi"/>
        </w:rPr>
        <w:t>National Natural Gas System</w:t>
      </w:r>
      <w:r w:rsidR="00EB7A7F" w:rsidRPr="001D27C6" w:rsidDel="00EB7A7F">
        <w:rPr>
          <w:rFonts w:cstheme="minorHAnsi"/>
        </w:rPr>
        <w:t xml:space="preserve"> </w:t>
      </w:r>
      <w:r w:rsidR="00EB7A7F" w:rsidRPr="001D27C6">
        <w:rPr>
          <w:rFonts w:cstheme="minorHAnsi"/>
        </w:rPr>
        <w:t xml:space="preserve">of DESFA (hereinafter </w:t>
      </w:r>
      <w:r w:rsidR="00AB5303" w:rsidRPr="001D27C6">
        <w:rPr>
          <w:rFonts w:cstheme="minorHAnsi"/>
        </w:rPr>
        <w:t xml:space="preserve">the </w:t>
      </w:r>
      <w:r w:rsidR="00597D00" w:rsidRPr="001D27C6">
        <w:rPr>
          <w:rFonts w:cstheme="minorHAnsi"/>
        </w:rPr>
        <w:t>DESFA System</w:t>
      </w:r>
      <w:r w:rsidR="00EB7A7F" w:rsidRPr="001D27C6">
        <w:rPr>
          <w:rFonts w:cstheme="minorHAnsi"/>
        </w:rPr>
        <w:t>)</w:t>
      </w:r>
      <w:r w:rsidRPr="001D27C6">
        <w:rPr>
          <w:rFonts w:cstheme="minorHAnsi"/>
        </w:rPr>
        <w:t xml:space="preserve"> with TAP pipeline. </w:t>
      </w:r>
      <w:r w:rsidR="00563148" w:rsidRPr="001D27C6">
        <w:rPr>
          <w:rFonts w:cstheme="minorHAnsi"/>
        </w:rPr>
        <w:t xml:space="preserve">Non-binding demand indications </w:t>
      </w:r>
      <w:r w:rsidR="00800268" w:rsidRPr="001D27C6">
        <w:rPr>
          <w:rFonts w:cstheme="minorHAnsi"/>
        </w:rPr>
        <w:t>at</w:t>
      </w:r>
      <w:r w:rsidR="007E0D86" w:rsidRPr="001D27C6">
        <w:rPr>
          <w:rFonts w:cstheme="minorHAnsi"/>
        </w:rPr>
        <w:t xml:space="preserve"> </w:t>
      </w:r>
      <w:proofErr w:type="spellStart"/>
      <w:r w:rsidR="007E0D86" w:rsidRPr="001D27C6">
        <w:rPr>
          <w:rFonts w:cstheme="minorHAnsi"/>
        </w:rPr>
        <w:t>Nea</w:t>
      </w:r>
      <w:proofErr w:type="spellEnd"/>
      <w:r w:rsidR="007E0D86" w:rsidRPr="001D27C6">
        <w:rPr>
          <w:rFonts w:cstheme="minorHAnsi"/>
        </w:rPr>
        <w:t xml:space="preserve"> </w:t>
      </w:r>
      <w:r w:rsidR="00317B81" w:rsidRPr="001D27C6">
        <w:rPr>
          <w:rFonts w:cstheme="minorHAnsi"/>
        </w:rPr>
        <w:t>Mesimvria</w:t>
      </w:r>
      <w:r w:rsidR="007E0D86" w:rsidRPr="001D27C6">
        <w:rPr>
          <w:rFonts w:cstheme="minorHAnsi"/>
        </w:rPr>
        <w:t xml:space="preserve"> IP</w:t>
      </w:r>
      <w:r w:rsidR="00563148" w:rsidRPr="001D27C6">
        <w:rPr>
          <w:rFonts w:cstheme="minorHAnsi"/>
        </w:rPr>
        <w:t xml:space="preserve"> are described in detail in the </w:t>
      </w:r>
      <w:r w:rsidR="00563148" w:rsidRPr="001D27C6">
        <w:rPr>
          <w:rFonts w:cstheme="minorHAnsi"/>
        </w:rPr>
        <w:fldChar w:fldCharType="begin"/>
      </w:r>
      <w:r w:rsidR="00563148" w:rsidRPr="001D27C6">
        <w:rPr>
          <w:rFonts w:cstheme="minorHAnsi"/>
        </w:rPr>
        <w:instrText xml:space="preserve"> XE "Demand Assessment Report" </w:instrText>
      </w:r>
      <w:r w:rsidR="00563148" w:rsidRPr="001D27C6">
        <w:rPr>
          <w:rFonts w:cstheme="minorHAnsi"/>
        </w:rPr>
        <w:fldChar w:fldCharType="end"/>
      </w:r>
      <w:r w:rsidR="00563148" w:rsidRPr="001D27C6">
        <w:rPr>
          <w:rFonts w:cstheme="minorHAnsi"/>
        </w:rPr>
        <w:t>D</w:t>
      </w:r>
      <w:r w:rsidR="00932EFB" w:rsidRPr="001D27C6">
        <w:rPr>
          <w:rFonts w:cstheme="minorHAnsi"/>
        </w:rPr>
        <w:t xml:space="preserve">emand Assessment </w:t>
      </w:r>
      <w:r w:rsidR="00563148" w:rsidRPr="001D27C6">
        <w:rPr>
          <w:rFonts w:cstheme="minorHAnsi"/>
        </w:rPr>
        <w:t>R</w:t>
      </w:r>
      <w:r w:rsidR="00932EFB" w:rsidRPr="001D27C6">
        <w:rPr>
          <w:rFonts w:cstheme="minorHAnsi"/>
        </w:rPr>
        <w:t>eport</w:t>
      </w:r>
      <w:r w:rsidR="00563148" w:rsidRPr="001D27C6">
        <w:rPr>
          <w:rFonts w:cstheme="minorHAnsi"/>
        </w:rPr>
        <w:t xml:space="preserve"> </w:t>
      </w:r>
      <w:r w:rsidR="00C7745B" w:rsidRPr="001D27C6">
        <w:rPr>
          <w:rFonts w:cstheme="minorHAnsi"/>
        </w:rPr>
        <w:t>and</w:t>
      </w:r>
      <w:r w:rsidR="003A0C39" w:rsidRPr="001D27C6">
        <w:rPr>
          <w:rFonts w:cstheme="minorHAnsi"/>
        </w:rPr>
        <w:t xml:space="preserve"> the Project Proposal</w:t>
      </w:r>
      <w:r w:rsidR="00563148" w:rsidRPr="001D27C6">
        <w:rPr>
          <w:rFonts w:cstheme="minorHAnsi"/>
        </w:rPr>
        <w:t>.</w:t>
      </w:r>
      <w:r w:rsidR="00FF1699" w:rsidRPr="001D27C6">
        <w:rPr>
          <w:rFonts w:cstheme="minorHAnsi"/>
        </w:rPr>
        <w:t xml:space="preserve"> </w:t>
      </w:r>
      <w:r w:rsidR="00C7745B" w:rsidRPr="00090C77">
        <w:rPr>
          <w:rFonts w:cstheme="minorHAnsi"/>
        </w:rPr>
        <w:t>T</w:t>
      </w:r>
      <w:r w:rsidR="00563148" w:rsidRPr="00090C77">
        <w:rPr>
          <w:rFonts w:cstheme="minorHAnsi"/>
        </w:rPr>
        <w:t xml:space="preserve">he maximum incremental capacity requested by the interested parties is equal to </w:t>
      </w:r>
      <w:r w:rsidR="00BF4B02" w:rsidRPr="00090C77">
        <w:t xml:space="preserve">30,000,000 kWh/day </w:t>
      </w:r>
      <w:r w:rsidR="00563148" w:rsidRPr="00090C77">
        <w:rPr>
          <w:rFonts w:cstheme="minorHAnsi"/>
        </w:rPr>
        <w:t>for the period 2023-203</w:t>
      </w:r>
      <w:r w:rsidR="00090C77" w:rsidRPr="00D97C06">
        <w:rPr>
          <w:rFonts w:cstheme="minorHAnsi"/>
        </w:rPr>
        <w:t>1</w:t>
      </w:r>
      <w:r w:rsidR="00EA6B9B" w:rsidRPr="00D97C06">
        <w:rPr>
          <w:rFonts w:cstheme="minorHAnsi"/>
        </w:rPr>
        <w:t xml:space="preserve">, </w:t>
      </w:r>
      <w:r w:rsidR="00EA6B9B">
        <w:rPr>
          <w:rFonts w:cstheme="minorHAnsi"/>
        </w:rPr>
        <w:t xml:space="preserve">for exit </w:t>
      </w:r>
      <w:r w:rsidR="00D97C06">
        <w:rPr>
          <w:rFonts w:cstheme="minorHAnsi"/>
        </w:rPr>
        <w:t xml:space="preserve">capacity in </w:t>
      </w:r>
      <w:r w:rsidR="00EA6B9B">
        <w:rPr>
          <w:rFonts w:cstheme="minorHAnsi"/>
        </w:rPr>
        <w:t>DESFA</w:t>
      </w:r>
      <w:r w:rsidR="00D97C06">
        <w:rPr>
          <w:rFonts w:cstheme="minorHAnsi"/>
        </w:rPr>
        <w:t>’s system</w:t>
      </w:r>
      <w:r w:rsidR="00EA6B9B">
        <w:rPr>
          <w:rFonts w:cstheme="minorHAnsi"/>
        </w:rPr>
        <w:t xml:space="preserve"> an</w:t>
      </w:r>
      <w:r w:rsidR="00D97C06">
        <w:rPr>
          <w:rFonts w:cstheme="minorHAnsi"/>
        </w:rPr>
        <w:t xml:space="preserve">d </w:t>
      </w:r>
      <w:r w:rsidR="00EA6B9B">
        <w:rPr>
          <w:rFonts w:cstheme="minorHAnsi"/>
        </w:rPr>
        <w:t xml:space="preserve">entry </w:t>
      </w:r>
      <w:r w:rsidR="00D97C06">
        <w:rPr>
          <w:rFonts w:cstheme="minorHAnsi"/>
        </w:rPr>
        <w:t xml:space="preserve">capacity to </w:t>
      </w:r>
      <w:r w:rsidR="00EA6B9B">
        <w:rPr>
          <w:rFonts w:cstheme="minorHAnsi"/>
        </w:rPr>
        <w:t>TAP</w:t>
      </w:r>
      <w:r w:rsidR="00BF4B02" w:rsidRPr="00090C77">
        <w:t>.</w:t>
      </w:r>
      <w:r w:rsidR="00FF1699" w:rsidRPr="00090C77">
        <w:rPr>
          <w:rFonts w:cstheme="minorHAnsi"/>
        </w:rPr>
        <w:t xml:space="preserve"> </w:t>
      </w:r>
      <w:r w:rsidR="00563148" w:rsidRPr="00090C77">
        <w:rPr>
          <w:rFonts w:cstheme="minorHAnsi"/>
        </w:rPr>
        <w:t>The</w:t>
      </w:r>
      <w:r w:rsidR="00563148" w:rsidRPr="001D27C6">
        <w:rPr>
          <w:rFonts w:cstheme="minorHAnsi"/>
        </w:rPr>
        <w:t xml:space="preserve"> demand indications received by DESFA were enough to initiate the design p</w:t>
      </w:r>
      <w:r w:rsidR="00563148" w:rsidRPr="00DE17F7">
        <w:rPr>
          <w:rFonts w:cstheme="minorHAnsi"/>
        </w:rPr>
        <w:t xml:space="preserve">hase of an Incremental Capacity Project in accordance with </w:t>
      </w:r>
      <w:r w:rsidR="00563148" w:rsidRPr="007B52CF">
        <w:rPr>
          <w:rFonts w:cstheme="minorHAnsi"/>
        </w:rPr>
        <w:t>para</w:t>
      </w:r>
      <w:r w:rsidR="00E9196B" w:rsidRPr="007B52CF">
        <w:rPr>
          <w:rFonts w:cstheme="minorHAnsi"/>
        </w:rPr>
        <w:t>.</w:t>
      </w:r>
      <w:r w:rsidR="00563148" w:rsidRPr="007B52CF">
        <w:rPr>
          <w:rFonts w:cstheme="minorHAnsi"/>
        </w:rPr>
        <w:t xml:space="preserve">2 of </w:t>
      </w:r>
      <w:r w:rsidR="00A96817" w:rsidRPr="007B52CF">
        <w:rPr>
          <w:rFonts w:cstheme="minorHAnsi"/>
        </w:rPr>
        <w:t>a</w:t>
      </w:r>
      <w:r w:rsidR="00563148" w:rsidRPr="007B52CF">
        <w:rPr>
          <w:rFonts w:cstheme="minorHAnsi"/>
        </w:rPr>
        <w:t>rticle 26 of NC CAM</w:t>
      </w:r>
      <w:r w:rsidR="00563148" w:rsidRPr="00DE17F7">
        <w:rPr>
          <w:rFonts w:cstheme="minorHAnsi"/>
        </w:rPr>
        <w:t>.</w:t>
      </w:r>
      <w:r w:rsidR="00563148" w:rsidRPr="001D27C6">
        <w:rPr>
          <w:rFonts w:cstheme="minorHAnsi"/>
        </w:rPr>
        <w:t xml:space="preserve"> </w:t>
      </w:r>
    </w:p>
    <w:p w14:paraId="6A521A44" w14:textId="05C7425B" w:rsidR="00336F71" w:rsidRPr="005B6376" w:rsidRDefault="00A54957">
      <w:pPr>
        <w:pStyle w:val="ListParagraph"/>
        <w:widowControl w:val="0"/>
        <w:numPr>
          <w:ilvl w:val="1"/>
          <w:numId w:val="22"/>
        </w:numPr>
        <w:suppressAutoHyphens/>
        <w:spacing w:after="120" w:line="360" w:lineRule="auto"/>
        <w:ind w:left="426"/>
        <w:jc w:val="both"/>
        <w:rPr>
          <w:rFonts w:cstheme="minorHAnsi"/>
        </w:rPr>
      </w:pPr>
      <w:r>
        <w:t xml:space="preserve">DESFA has included in the already approved by RAE </w:t>
      </w:r>
      <w:r w:rsidR="00B47EE4">
        <w:t>Ten Year Development Plan (</w:t>
      </w:r>
      <w:r>
        <w:t>TYDP</w:t>
      </w:r>
      <w:r w:rsidR="00B47EE4">
        <w:t>)</w:t>
      </w:r>
      <w:r>
        <w:t xml:space="preserve"> 2022-2031, a new booster compressor at </w:t>
      </w:r>
      <w:proofErr w:type="spellStart"/>
      <w:r>
        <w:t>Nea</w:t>
      </w:r>
      <w:proofErr w:type="spellEnd"/>
      <w:r>
        <w:t xml:space="preserve"> Mesimvria </w:t>
      </w:r>
      <w:proofErr w:type="gramStart"/>
      <w:r>
        <w:t>in order to</w:t>
      </w:r>
      <w:proofErr w:type="gramEnd"/>
      <w:r>
        <w:t xml:space="preserve"> facilitate flows from DESFA’s gas System towards TAP. This booster Compressor will enable DESFA to offer firm capacity products at the exit point </w:t>
      </w:r>
      <w:proofErr w:type="spellStart"/>
      <w:r>
        <w:t>Nea</w:t>
      </w:r>
      <w:proofErr w:type="spellEnd"/>
      <w:r>
        <w:t xml:space="preserve"> Mesimvria. The compressor is expected to have been completed by the end of Q4 2023 and the commercial operation date is expected at Q1 2024. The level of the flow requests submitted during the non-binding phase can be covered without any new investments after the completion of the above-mentioned booster CS.</w:t>
      </w:r>
      <w:r w:rsidR="000C7A9B">
        <w:t xml:space="preserve"> </w:t>
      </w:r>
      <w:r w:rsidR="00A80F45" w:rsidRPr="00A80F45">
        <w:rPr>
          <w:rFonts w:cstheme="minorHAnsi"/>
        </w:rPr>
        <w:t xml:space="preserve">The already projected infrastructure would be enough to deliver </w:t>
      </w:r>
      <w:r w:rsidR="000C7A9B">
        <w:rPr>
          <w:rFonts w:cstheme="minorHAnsi"/>
        </w:rPr>
        <w:t>the requested capacity</w:t>
      </w:r>
      <w:r w:rsidR="00A80F45" w:rsidRPr="00A80F45">
        <w:rPr>
          <w:rFonts w:cstheme="minorHAnsi"/>
        </w:rPr>
        <w:t xml:space="preserve"> and so no additional investments are needed on DESFA’s side of the IP. The above-mentioned has as a prerequisite the completion of the planned </w:t>
      </w:r>
      <w:proofErr w:type="spellStart"/>
      <w:r w:rsidR="00A80F45" w:rsidRPr="00A80F45">
        <w:rPr>
          <w:rFonts w:cstheme="minorHAnsi"/>
        </w:rPr>
        <w:t>Ampelia</w:t>
      </w:r>
      <w:proofErr w:type="spellEnd"/>
      <w:r w:rsidR="00A80F45" w:rsidRPr="00A80F45">
        <w:rPr>
          <w:rFonts w:cstheme="minorHAnsi"/>
        </w:rPr>
        <w:t xml:space="preserve"> </w:t>
      </w:r>
      <w:r w:rsidR="00C61BE1" w:rsidRPr="005B6376">
        <w:rPr>
          <w:rFonts w:cstheme="minorHAnsi"/>
        </w:rPr>
        <w:t xml:space="preserve">Compressor Station </w:t>
      </w:r>
      <w:r w:rsidR="00C61BE1">
        <w:rPr>
          <w:rFonts w:cstheme="minorHAnsi"/>
        </w:rPr>
        <w:t>(</w:t>
      </w:r>
      <w:r w:rsidR="00A80F45" w:rsidRPr="00A80F45">
        <w:rPr>
          <w:rFonts w:cstheme="minorHAnsi"/>
        </w:rPr>
        <w:t>CS</w:t>
      </w:r>
      <w:r w:rsidR="00C61BE1">
        <w:rPr>
          <w:rFonts w:cstheme="minorHAnsi"/>
        </w:rPr>
        <w:t>)</w:t>
      </w:r>
      <w:r w:rsidR="00A80F45" w:rsidRPr="00A80F45">
        <w:rPr>
          <w:rFonts w:cstheme="minorHAnsi"/>
        </w:rPr>
        <w:t xml:space="preserve"> </w:t>
      </w:r>
      <w:r w:rsidR="00A80F45" w:rsidRPr="005B6376">
        <w:rPr>
          <w:rFonts w:cstheme="minorHAnsi"/>
        </w:rPr>
        <w:t xml:space="preserve">and the booster </w:t>
      </w:r>
      <w:r w:rsidR="00C61BE1">
        <w:rPr>
          <w:rFonts w:cstheme="minorHAnsi"/>
        </w:rPr>
        <w:t xml:space="preserve">CS </w:t>
      </w:r>
      <w:r w:rsidR="00A80F45" w:rsidRPr="005B6376">
        <w:rPr>
          <w:rFonts w:cstheme="minorHAnsi"/>
        </w:rPr>
        <w:t xml:space="preserve">at </w:t>
      </w:r>
      <w:proofErr w:type="spellStart"/>
      <w:r w:rsidR="00A80F45" w:rsidRPr="005B6376">
        <w:rPr>
          <w:rFonts w:cstheme="minorHAnsi"/>
        </w:rPr>
        <w:t>Nea</w:t>
      </w:r>
      <w:proofErr w:type="spellEnd"/>
      <w:r w:rsidR="00A80F45" w:rsidRPr="005B6376">
        <w:rPr>
          <w:rFonts w:cstheme="minorHAnsi"/>
        </w:rPr>
        <w:t xml:space="preserve"> Mesimvria, already included in DESFA’s approved </w:t>
      </w:r>
      <w:r w:rsidR="00696E58">
        <w:rPr>
          <w:rFonts w:cstheme="minorHAnsi"/>
        </w:rPr>
        <w:t>TYDP</w:t>
      </w:r>
      <w:r w:rsidR="00A80F45" w:rsidRPr="005B6376">
        <w:rPr>
          <w:rFonts w:cstheme="minorHAnsi"/>
        </w:rPr>
        <w:t xml:space="preserve"> 2022-2031.</w:t>
      </w:r>
    </w:p>
    <w:p w14:paraId="6AC68528" w14:textId="4849455F" w:rsidR="00563148" w:rsidRPr="003A3341" w:rsidRDefault="00AB73D2">
      <w:pPr>
        <w:pStyle w:val="ListParagraph"/>
        <w:widowControl w:val="0"/>
        <w:numPr>
          <w:ilvl w:val="1"/>
          <w:numId w:val="22"/>
        </w:numPr>
        <w:suppressAutoHyphens/>
        <w:spacing w:after="120" w:line="360" w:lineRule="auto"/>
        <w:ind w:left="426" w:hanging="568"/>
        <w:jc w:val="both"/>
        <w:rPr>
          <w:rFonts w:cstheme="minorHAnsi"/>
        </w:rPr>
      </w:pPr>
      <w:r w:rsidRPr="003A3341">
        <w:rPr>
          <w:rFonts w:cstheme="minorHAnsi"/>
        </w:rPr>
        <w:t>T</w:t>
      </w:r>
      <w:r w:rsidR="000D2246" w:rsidRPr="003A3341">
        <w:rPr>
          <w:rFonts w:cstheme="minorHAnsi"/>
        </w:rPr>
        <w:t xml:space="preserve">he abovementioned projects are already included in DESFA’s TYDP so there is no </w:t>
      </w:r>
      <w:r w:rsidRPr="003A3341">
        <w:rPr>
          <w:rFonts w:cstheme="minorHAnsi"/>
        </w:rPr>
        <w:t xml:space="preserve">additional </w:t>
      </w:r>
      <w:r w:rsidR="000D2246" w:rsidRPr="003A3341">
        <w:rPr>
          <w:rFonts w:cstheme="minorHAnsi"/>
        </w:rPr>
        <w:t xml:space="preserve">cost </w:t>
      </w:r>
      <w:r w:rsidR="00C03AC5" w:rsidRPr="003A3341">
        <w:rPr>
          <w:rFonts w:cstheme="minorHAnsi"/>
        </w:rPr>
        <w:t xml:space="preserve">that must be covered </w:t>
      </w:r>
      <w:r w:rsidR="004127F3" w:rsidRPr="003A3341">
        <w:rPr>
          <w:rFonts w:cstheme="minorHAnsi"/>
        </w:rPr>
        <w:t>through the incremental capacity process</w:t>
      </w:r>
      <w:r w:rsidR="00563148" w:rsidRPr="003A3341">
        <w:rPr>
          <w:rFonts w:cstheme="minorHAnsi"/>
        </w:rPr>
        <w:t xml:space="preserve">. </w:t>
      </w:r>
    </w:p>
    <w:p w14:paraId="5CEF434B" w14:textId="02F92EC8" w:rsidR="00473712" w:rsidRPr="003A3341" w:rsidRDefault="00473712">
      <w:pPr>
        <w:pStyle w:val="ListParagraph"/>
        <w:widowControl w:val="0"/>
        <w:numPr>
          <w:ilvl w:val="1"/>
          <w:numId w:val="22"/>
        </w:numPr>
        <w:suppressAutoHyphens/>
        <w:spacing w:after="120" w:line="360" w:lineRule="auto"/>
        <w:ind w:left="426" w:hanging="568"/>
        <w:jc w:val="both"/>
        <w:rPr>
          <w:rFonts w:cstheme="minorHAnsi"/>
        </w:rPr>
      </w:pPr>
      <w:r w:rsidRPr="003A3341">
        <w:rPr>
          <w:rFonts w:cstheme="minorHAnsi"/>
        </w:rPr>
        <w:t xml:space="preserve">Regarding </w:t>
      </w:r>
      <w:r w:rsidR="005122FA" w:rsidRPr="003A3341">
        <w:rPr>
          <w:rFonts w:cstheme="minorHAnsi"/>
        </w:rPr>
        <w:t xml:space="preserve">the </w:t>
      </w:r>
      <w:r w:rsidRPr="003A3341">
        <w:rPr>
          <w:rFonts w:cstheme="minorHAnsi"/>
        </w:rPr>
        <w:t xml:space="preserve">Offer Level </w:t>
      </w:r>
      <w:r w:rsidR="005122FA" w:rsidRPr="003A3341">
        <w:rPr>
          <w:rFonts w:cstheme="minorHAnsi"/>
        </w:rPr>
        <w:t xml:space="preserve">of incremental capacity </w:t>
      </w:r>
      <w:r w:rsidRPr="003A3341">
        <w:rPr>
          <w:rFonts w:cstheme="minorHAnsi"/>
        </w:rPr>
        <w:t xml:space="preserve">at </w:t>
      </w:r>
      <w:proofErr w:type="spellStart"/>
      <w:r w:rsidRPr="003A3341">
        <w:rPr>
          <w:rFonts w:cstheme="minorHAnsi"/>
        </w:rPr>
        <w:t>Nea</w:t>
      </w:r>
      <w:proofErr w:type="spellEnd"/>
      <w:r w:rsidRPr="003A3341">
        <w:rPr>
          <w:rFonts w:cstheme="minorHAnsi"/>
        </w:rPr>
        <w:t xml:space="preserve"> </w:t>
      </w:r>
      <w:r w:rsidR="00317B81" w:rsidRPr="003A3341">
        <w:rPr>
          <w:rFonts w:cstheme="minorHAnsi"/>
        </w:rPr>
        <w:t>Mesimvria</w:t>
      </w:r>
      <w:r w:rsidRPr="003A3341">
        <w:rPr>
          <w:rFonts w:cstheme="minorHAnsi"/>
        </w:rPr>
        <w:t xml:space="preserve"> IP</w:t>
      </w:r>
      <w:r w:rsidR="00FE2283" w:rsidRPr="003A3341">
        <w:rPr>
          <w:rFonts w:cstheme="minorHAnsi"/>
        </w:rPr>
        <w:t xml:space="preserve"> in the direction from DESFA towards TAP</w:t>
      </w:r>
      <w:r w:rsidRPr="003A3341">
        <w:rPr>
          <w:rFonts w:cstheme="minorHAnsi"/>
        </w:rPr>
        <w:t>, and based on the preliminary technical studies</w:t>
      </w:r>
      <w:r w:rsidR="00294738" w:rsidRPr="003A3341">
        <w:rPr>
          <w:rFonts w:cstheme="minorHAnsi"/>
        </w:rPr>
        <w:t>,</w:t>
      </w:r>
      <w:r w:rsidRPr="003A3341">
        <w:rPr>
          <w:rFonts w:cstheme="minorHAnsi"/>
        </w:rPr>
        <w:t xml:space="preserve"> DESFA estimate</w:t>
      </w:r>
      <w:r w:rsidR="00294738" w:rsidRPr="003A3341">
        <w:rPr>
          <w:rFonts w:cstheme="minorHAnsi"/>
        </w:rPr>
        <w:t>d</w:t>
      </w:r>
      <w:r w:rsidRPr="003A3341">
        <w:rPr>
          <w:rFonts w:cstheme="minorHAnsi"/>
        </w:rPr>
        <w:t xml:space="preserve"> </w:t>
      </w:r>
      <w:r w:rsidR="008F0C0B" w:rsidRPr="005B6376">
        <w:t xml:space="preserve">that the necessary projects for the offer of the incremental capacity (the booster </w:t>
      </w:r>
      <w:r w:rsidR="00A37CC1">
        <w:t>CS</w:t>
      </w:r>
      <w:r w:rsidR="008F0C0B" w:rsidRPr="005B6376">
        <w:t xml:space="preserve"> at </w:t>
      </w:r>
      <w:proofErr w:type="spellStart"/>
      <w:r w:rsidR="008F0C0B" w:rsidRPr="005B6376">
        <w:t>Nea</w:t>
      </w:r>
      <w:proofErr w:type="spellEnd"/>
      <w:r w:rsidR="008F0C0B" w:rsidRPr="005B6376">
        <w:t xml:space="preserve"> Mesimvria and the new </w:t>
      </w:r>
      <w:r w:rsidR="008F0C0B" w:rsidRPr="005B6376">
        <w:lastRenderedPageBreak/>
        <w:t xml:space="preserve">CS </w:t>
      </w:r>
      <w:r w:rsidR="008F0C0B" w:rsidRPr="0020637D">
        <w:t xml:space="preserve">at </w:t>
      </w:r>
      <w:proofErr w:type="spellStart"/>
      <w:r w:rsidR="008F0C0B" w:rsidRPr="0020637D">
        <w:t>Ampelia</w:t>
      </w:r>
      <w:proofErr w:type="spellEnd"/>
      <w:r w:rsidR="008F0C0B" w:rsidRPr="0020637D">
        <w:t xml:space="preserve">) as described in part A.2.4 of the Project Proposal will be concluded by Q4 2023 so DESFA will be able to offer firm exit capacity at </w:t>
      </w:r>
      <w:proofErr w:type="spellStart"/>
      <w:r w:rsidR="008F0C0B" w:rsidRPr="0020637D">
        <w:t>Nea</w:t>
      </w:r>
      <w:proofErr w:type="spellEnd"/>
      <w:r w:rsidR="008F0C0B" w:rsidRPr="0020637D">
        <w:t xml:space="preserve"> Mesimvria exit point at Q1 2024. </w:t>
      </w:r>
    </w:p>
    <w:p w14:paraId="6FE3AC43" w14:textId="77777777" w:rsidR="002D7C7E" w:rsidRPr="002D7C7E" w:rsidRDefault="00FE65DC">
      <w:pPr>
        <w:pStyle w:val="ListParagraph"/>
        <w:widowControl w:val="0"/>
        <w:numPr>
          <w:ilvl w:val="1"/>
          <w:numId w:val="22"/>
        </w:numPr>
        <w:suppressAutoHyphens/>
        <w:spacing w:after="120" w:line="360" w:lineRule="auto"/>
        <w:ind w:left="426" w:hanging="568"/>
        <w:jc w:val="both"/>
        <w:rPr>
          <w:rFonts w:cstheme="minorHAnsi"/>
        </w:rPr>
      </w:pPr>
      <w:r w:rsidRPr="0020637D">
        <w:t xml:space="preserve">Further to the above, DESFA has also examined the possibility to offer at least one Offer Level in the flow direction from TAP towards DESFA’s System, even if no non-binding requests have been submitted during the non-binding phase. The goal is to cover any potential interest for gas transmission from TAP to DESFA through the existing interconnection point at </w:t>
      </w:r>
      <w:proofErr w:type="spellStart"/>
      <w:r w:rsidRPr="0020637D">
        <w:t>Nea</w:t>
      </w:r>
      <w:proofErr w:type="spellEnd"/>
      <w:r w:rsidRPr="0020637D">
        <w:t xml:space="preserve"> Mesimvria, that has not been expressed during the non-binding phase. Therefore, DESFA intends to offer to the market participants the possibility to book capacity in both directions during the upcoming binding phase(s).</w:t>
      </w:r>
      <w:r w:rsidR="00D971EF">
        <w:t xml:space="preserve"> DESFA will offer two Offer Levels in the direction from TAP towards DESFA System. The first </w:t>
      </w:r>
      <w:r w:rsidR="00705B8E">
        <w:t>Offer Level</w:t>
      </w:r>
      <w:r w:rsidR="00A80B9B">
        <w:t xml:space="preserve"> concerns</w:t>
      </w:r>
      <w:r w:rsidR="00705B8E" w:rsidRPr="00705B8E">
        <w:t xml:space="preserve"> </w:t>
      </w:r>
      <w:r w:rsidR="00705B8E">
        <w:t xml:space="preserve">incremental capacity of </w:t>
      </w:r>
      <w:r w:rsidR="001940E5">
        <w:t>26</w:t>
      </w:r>
      <w:r w:rsidR="00705B8E">
        <w:t xml:space="preserve"> GWh/day while the second</w:t>
      </w:r>
      <w:r w:rsidR="00D33FA9">
        <w:t xml:space="preserve"> concerns </w:t>
      </w:r>
      <w:r w:rsidR="001940E5">
        <w:t>incremental capacity of 49 GWh/day</w:t>
      </w:r>
      <w:r w:rsidR="001940E5" w:rsidRPr="003A3341">
        <w:t>.</w:t>
      </w:r>
    </w:p>
    <w:p w14:paraId="42B7D3BE" w14:textId="16EFC39B" w:rsidR="00AF2F2F" w:rsidRPr="00AF2F2F" w:rsidRDefault="001940E5">
      <w:pPr>
        <w:pStyle w:val="ListParagraph"/>
        <w:widowControl w:val="0"/>
        <w:numPr>
          <w:ilvl w:val="1"/>
          <w:numId w:val="22"/>
        </w:numPr>
        <w:suppressAutoHyphens/>
        <w:spacing w:after="120" w:line="360" w:lineRule="auto"/>
        <w:ind w:left="426" w:hanging="568"/>
        <w:jc w:val="both"/>
        <w:rPr>
          <w:rFonts w:cstheme="minorHAnsi"/>
        </w:rPr>
      </w:pPr>
      <w:r>
        <w:t xml:space="preserve">For Offer Level 1, a new pipeline of 30” diameter from </w:t>
      </w:r>
      <w:proofErr w:type="spellStart"/>
      <w:r>
        <w:t>Ampelia</w:t>
      </w:r>
      <w:proofErr w:type="spellEnd"/>
      <w:r>
        <w:t xml:space="preserve"> to Lamia node (38 km) is needed. This new pipeline will be placed in parallel with the existing one, where possible, </w:t>
      </w:r>
      <w:proofErr w:type="gramStart"/>
      <w:r>
        <w:t>in order to</w:t>
      </w:r>
      <w:proofErr w:type="gramEnd"/>
      <w:r>
        <w:t xml:space="preserve"> minimize the cost of the project, the environmental effect and the requested time for the construction of the project. A new</w:t>
      </w:r>
      <w:r w:rsidR="00AF2F2F" w:rsidRPr="003A3341">
        <w:t xml:space="preserve"> </w:t>
      </w:r>
      <w:r>
        <w:t xml:space="preserve">13MW (2+1 x 6.5MW) compression unit must be installed at </w:t>
      </w:r>
      <w:proofErr w:type="spellStart"/>
      <w:r>
        <w:t>Platamonas</w:t>
      </w:r>
      <w:proofErr w:type="spellEnd"/>
      <w:r>
        <w:t xml:space="preserve"> node. </w:t>
      </w:r>
      <w:r w:rsidR="00AF2F2F">
        <w:t xml:space="preserve">For Offer Level </w:t>
      </w:r>
      <w:r>
        <w:t xml:space="preserve">2, a new pipeline of 30” diameter from Larisa area to </w:t>
      </w:r>
      <w:proofErr w:type="spellStart"/>
      <w:r>
        <w:t>Sperheios</w:t>
      </w:r>
      <w:proofErr w:type="spellEnd"/>
      <w:r>
        <w:t xml:space="preserve"> node (92 km) is needed. This new pipeline will be placed in parallel with the existing one, where possible, </w:t>
      </w:r>
      <w:proofErr w:type="gramStart"/>
      <w:r>
        <w:t>in order to</w:t>
      </w:r>
      <w:proofErr w:type="gramEnd"/>
      <w:r>
        <w:t xml:space="preserve"> minimize the cost of the project, the environmental effect and the requested time for the construction of the project. A new 18MW (2+1 x 8</w:t>
      </w:r>
      <w:r w:rsidR="001578B6">
        <w:t>MW</w:t>
      </w:r>
      <w:r>
        <w:t xml:space="preserve">) compression unit must be installed at </w:t>
      </w:r>
      <w:proofErr w:type="spellStart"/>
      <w:r>
        <w:t>Litochoro</w:t>
      </w:r>
      <w:proofErr w:type="spellEnd"/>
      <w:r>
        <w:t xml:space="preserve"> node. </w:t>
      </w:r>
    </w:p>
    <w:p w14:paraId="61F58683" w14:textId="73696441" w:rsidR="003249F0" w:rsidRPr="00AF2F2F" w:rsidRDefault="00AF2F2F">
      <w:pPr>
        <w:pStyle w:val="ListParagraph"/>
        <w:widowControl w:val="0"/>
        <w:numPr>
          <w:ilvl w:val="1"/>
          <w:numId w:val="22"/>
        </w:numPr>
        <w:suppressAutoHyphens/>
        <w:spacing w:after="120" w:line="360" w:lineRule="auto"/>
        <w:ind w:left="426" w:hanging="568"/>
        <w:jc w:val="both"/>
        <w:rPr>
          <w:rFonts w:cstheme="minorHAnsi"/>
        </w:rPr>
      </w:pPr>
      <w:r>
        <w:t>The cost of the relevant project for Offer Level 1, is estimated at € 108 million</w:t>
      </w:r>
      <w:r w:rsidRPr="003A3341">
        <w:t>.</w:t>
      </w:r>
      <w:r w:rsidRPr="00AF2F2F">
        <w:t xml:space="preserve"> </w:t>
      </w:r>
      <w:r>
        <w:t>While the cost of the relevant project for Offer Level 2, is estimated at € 189 million.</w:t>
      </w:r>
    </w:p>
    <w:p w14:paraId="2D380D19" w14:textId="2BF9B630" w:rsidR="00AF2F2F" w:rsidRPr="001E1B8D" w:rsidRDefault="001E1B8D">
      <w:pPr>
        <w:pStyle w:val="ListParagraph"/>
        <w:widowControl w:val="0"/>
        <w:numPr>
          <w:ilvl w:val="1"/>
          <w:numId w:val="22"/>
        </w:numPr>
        <w:suppressAutoHyphens/>
        <w:spacing w:after="120" w:line="360" w:lineRule="auto"/>
        <w:ind w:left="426" w:hanging="568"/>
        <w:jc w:val="both"/>
        <w:rPr>
          <w:rFonts w:cstheme="minorHAnsi"/>
        </w:rPr>
      </w:pPr>
      <w:r>
        <w:t>For Offer Level 1 the necessary investment is expected to be finalized within 48 months and the capacity will be offered by Q1 2027, while for Offer Level 2 the necessary investment is expected to be finalized within 54 months and the capacity will be offered by Q3 2027.</w:t>
      </w:r>
    </w:p>
    <w:p w14:paraId="25CF2C93" w14:textId="77777777" w:rsidR="001E1B8D" w:rsidRPr="00AF2F2F" w:rsidRDefault="001E1B8D" w:rsidP="003A3341">
      <w:pPr>
        <w:pStyle w:val="ListParagraph"/>
        <w:widowControl w:val="0"/>
        <w:suppressAutoHyphens/>
        <w:spacing w:after="120" w:line="360" w:lineRule="auto"/>
        <w:ind w:left="426"/>
        <w:jc w:val="both"/>
        <w:rPr>
          <w:rFonts w:cstheme="minorHAnsi"/>
        </w:rPr>
      </w:pPr>
    </w:p>
    <w:p w14:paraId="23362982" w14:textId="77777777" w:rsidR="00D37629" w:rsidRPr="001D27C6" w:rsidRDefault="003D5005" w:rsidP="009553BC">
      <w:pPr>
        <w:pStyle w:val="Heading1"/>
        <w:spacing w:after="160"/>
      </w:pPr>
      <w:bookmarkStart w:id="17" w:name="_Toc71289525"/>
      <w:bookmarkStart w:id="18" w:name="_Toc119485254"/>
      <w:r w:rsidRPr="001D27C6">
        <w:t xml:space="preserve">Article </w:t>
      </w:r>
      <w:r w:rsidR="00423E48" w:rsidRPr="001D27C6">
        <w:t>3</w:t>
      </w:r>
      <w:r w:rsidRPr="001D27C6">
        <w:t xml:space="preserve"> - </w:t>
      </w:r>
      <w:r w:rsidR="00D555F5" w:rsidRPr="001D27C6">
        <w:t xml:space="preserve">Incremental Capacity </w:t>
      </w:r>
      <w:r w:rsidR="00D37629" w:rsidRPr="001D27C6">
        <w:t xml:space="preserve">Offer Level at </w:t>
      </w:r>
      <w:proofErr w:type="spellStart"/>
      <w:r w:rsidR="00D37629" w:rsidRPr="001D27C6">
        <w:t>Nea</w:t>
      </w:r>
      <w:proofErr w:type="spellEnd"/>
      <w:r w:rsidR="00D37629" w:rsidRPr="001D27C6">
        <w:t xml:space="preserve"> </w:t>
      </w:r>
      <w:r w:rsidR="00317B81" w:rsidRPr="001D27C6">
        <w:t>Mesimvria</w:t>
      </w:r>
      <w:r w:rsidR="00D37629" w:rsidRPr="001D27C6">
        <w:t xml:space="preserve"> IP</w:t>
      </w:r>
      <w:bookmarkEnd w:id="17"/>
      <w:bookmarkEnd w:id="18"/>
    </w:p>
    <w:p w14:paraId="6FE31280" w14:textId="275A256B" w:rsidR="007D0463" w:rsidRPr="001D27C6" w:rsidRDefault="0023603E">
      <w:pPr>
        <w:pStyle w:val="ListParagraph"/>
        <w:widowControl w:val="0"/>
        <w:numPr>
          <w:ilvl w:val="1"/>
          <w:numId w:val="24"/>
        </w:numPr>
        <w:suppressAutoHyphens/>
        <w:spacing w:after="120" w:line="360" w:lineRule="auto"/>
        <w:ind w:left="426" w:hanging="568"/>
        <w:jc w:val="both"/>
        <w:rPr>
          <w:rFonts w:cstheme="minorHAnsi"/>
        </w:rPr>
      </w:pPr>
      <w:r w:rsidRPr="001D27C6">
        <w:rPr>
          <w:rFonts w:cstheme="minorHAnsi"/>
        </w:rPr>
        <w:t>The Offer Level</w:t>
      </w:r>
      <w:r w:rsidR="00F55D08">
        <w:rPr>
          <w:rFonts w:cstheme="minorHAnsi"/>
        </w:rPr>
        <w:t>s</w:t>
      </w:r>
      <w:r w:rsidR="007D0463" w:rsidRPr="001D27C6">
        <w:rPr>
          <w:rFonts w:cstheme="minorHAnsi"/>
        </w:rPr>
        <w:t xml:space="preserve"> in the table</w:t>
      </w:r>
      <w:r w:rsidR="00F55D08">
        <w:rPr>
          <w:rFonts w:cstheme="minorHAnsi"/>
        </w:rPr>
        <w:t>s</w:t>
      </w:r>
      <w:r w:rsidR="007D0463" w:rsidRPr="001D27C6">
        <w:rPr>
          <w:rFonts w:cstheme="minorHAnsi"/>
        </w:rPr>
        <w:t xml:space="preserve"> below provid</w:t>
      </w:r>
      <w:r w:rsidRPr="001D27C6">
        <w:rPr>
          <w:rFonts w:cstheme="minorHAnsi"/>
        </w:rPr>
        <w:t>e</w:t>
      </w:r>
      <w:r w:rsidR="007D0463" w:rsidRPr="001D27C6">
        <w:rPr>
          <w:rFonts w:cstheme="minorHAnsi"/>
        </w:rPr>
        <w:t xml:space="preserve"> an overview of offered </w:t>
      </w:r>
      <w:r w:rsidR="00AF1D11" w:rsidRPr="001D27C6">
        <w:rPr>
          <w:rFonts w:cstheme="minorHAnsi"/>
        </w:rPr>
        <w:t xml:space="preserve">incremental </w:t>
      </w:r>
      <w:r w:rsidR="007D0463" w:rsidRPr="001D27C6">
        <w:rPr>
          <w:rFonts w:cstheme="minorHAnsi"/>
        </w:rPr>
        <w:t>capacit</w:t>
      </w:r>
      <w:r w:rsidRPr="001D27C6">
        <w:rPr>
          <w:rFonts w:cstheme="minorHAnsi"/>
        </w:rPr>
        <w:t>y</w:t>
      </w:r>
      <w:r w:rsidR="007D0463" w:rsidRPr="001D27C6">
        <w:rPr>
          <w:rFonts w:cstheme="minorHAnsi"/>
        </w:rPr>
        <w:t xml:space="preserve"> at </w:t>
      </w:r>
      <w:proofErr w:type="spellStart"/>
      <w:r w:rsidRPr="001D27C6">
        <w:rPr>
          <w:rFonts w:cstheme="minorHAnsi"/>
        </w:rPr>
        <w:t>Nea</w:t>
      </w:r>
      <w:proofErr w:type="spellEnd"/>
      <w:r w:rsidRPr="001D27C6">
        <w:rPr>
          <w:rFonts w:cstheme="minorHAnsi"/>
        </w:rPr>
        <w:t xml:space="preserve"> </w:t>
      </w:r>
      <w:r w:rsidR="00317B81" w:rsidRPr="001D27C6">
        <w:rPr>
          <w:rFonts w:cstheme="minorHAnsi"/>
        </w:rPr>
        <w:t>Mesimvria</w:t>
      </w:r>
      <w:r w:rsidRPr="001D27C6">
        <w:rPr>
          <w:rFonts w:cstheme="minorHAnsi"/>
        </w:rPr>
        <w:t xml:space="preserve"> IP</w:t>
      </w:r>
      <w:r w:rsidR="00AF1D11" w:rsidRPr="001D27C6">
        <w:rPr>
          <w:rFonts w:cstheme="minorHAnsi"/>
        </w:rPr>
        <w:t>. That capacity</w:t>
      </w:r>
      <w:r w:rsidR="007D0463" w:rsidRPr="001D27C6">
        <w:rPr>
          <w:rFonts w:cstheme="minorHAnsi"/>
        </w:rPr>
        <w:t xml:space="preserve"> </w:t>
      </w:r>
      <w:r w:rsidR="00AF1D11" w:rsidRPr="001D27C6">
        <w:rPr>
          <w:rFonts w:cstheme="minorHAnsi"/>
        </w:rPr>
        <w:t>can b</w:t>
      </w:r>
      <w:r w:rsidR="007D0463" w:rsidRPr="001D27C6">
        <w:rPr>
          <w:rFonts w:cstheme="minorHAnsi"/>
        </w:rPr>
        <w:t xml:space="preserve">e allocated </w:t>
      </w:r>
      <w:r w:rsidR="00213812" w:rsidRPr="001D27C6">
        <w:rPr>
          <w:rFonts w:cstheme="minorHAnsi"/>
        </w:rPr>
        <w:t xml:space="preserve">as </w:t>
      </w:r>
      <w:r w:rsidR="00626AD0" w:rsidRPr="001D27C6">
        <w:rPr>
          <w:rFonts w:cstheme="minorHAnsi"/>
        </w:rPr>
        <w:t>long-term</w:t>
      </w:r>
      <w:r w:rsidR="00213812" w:rsidRPr="001D27C6">
        <w:rPr>
          <w:rFonts w:cstheme="minorHAnsi"/>
        </w:rPr>
        <w:t xml:space="preserve"> capacity.</w:t>
      </w:r>
      <w:r w:rsidR="007D0463" w:rsidRPr="001D27C6">
        <w:rPr>
          <w:rFonts w:cstheme="minorHAnsi"/>
        </w:rPr>
        <w:t xml:space="preserve"> </w:t>
      </w:r>
    </w:p>
    <w:p w14:paraId="6EE13F4C" w14:textId="14EE1FD6" w:rsidR="007D0463" w:rsidRPr="003A3341" w:rsidRDefault="007D0463" w:rsidP="007D0463">
      <w:pPr>
        <w:widowControl w:val="0"/>
        <w:suppressAutoHyphens/>
        <w:spacing w:after="120"/>
        <w:rPr>
          <w:rFonts w:cstheme="minorHAnsi"/>
          <w:sz w:val="18"/>
          <w:szCs w:val="18"/>
        </w:rPr>
      </w:pPr>
    </w:p>
    <w:p w14:paraId="55FD0BEF" w14:textId="08605148" w:rsidR="00FE4475" w:rsidRPr="003A3341" w:rsidRDefault="00FE4475" w:rsidP="00FE4475">
      <w:pPr>
        <w:widowControl w:val="0"/>
        <w:suppressAutoHyphens/>
        <w:spacing w:after="120"/>
        <w:rPr>
          <w:rFonts w:cstheme="minorHAnsi"/>
          <w:b/>
          <w:color w:val="000000" w:themeColor="text1"/>
        </w:rPr>
      </w:pPr>
      <w:r w:rsidRPr="00F55D08">
        <w:rPr>
          <w:rFonts w:cstheme="minorHAnsi"/>
          <w:b/>
          <w:color w:val="000000" w:themeColor="text1"/>
        </w:rPr>
        <w:t xml:space="preserve">Incremental Capacity offered at </w:t>
      </w:r>
      <w:proofErr w:type="spellStart"/>
      <w:r w:rsidRPr="00F55D08">
        <w:rPr>
          <w:rFonts w:cstheme="minorHAnsi"/>
          <w:b/>
          <w:color w:val="000000" w:themeColor="text1"/>
        </w:rPr>
        <w:t>Nea</w:t>
      </w:r>
      <w:proofErr w:type="spellEnd"/>
      <w:r w:rsidRPr="00F55D08">
        <w:rPr>
          <w:rFonts w:cstheme="minorHAnsi"/>
          <w:b/>
          <w:color w:val="000000" w:themeColor="text1"/>
        </w:rPr>
        <w:t xml:space="preserve"> Mesimvria Interconnection Point</w:t>
      </w:r>
      <w:r w:rsidRPr="003A3341">
        <w:rPr>
          <w:rFonts w:cstheme="minorHAnsi"/>
          <w:b/>
          <w:color w:val="000000" w:themeColor="text1"/>
        </w:rPr>
        <w:t xml:space="preserve"> - Exit DESFA/Entry TAP </w:t>
      </w:r>
    </w:p>
    <w:tbl>
      <w:tblPr>
        <w:tblW w:w="9182" w:type="dxa"/>
        <w:jc w:val="center"/>
        <w:tblBorders>
          <w:top w:val="single" w:sz="2" w:space="0" w:color="173262"/>
          <w:left w:val="single" w:sz="2" w:space="0" w:color="173262"/>
          <w:bottom w:val="single" w:sz="2" w:space="0" w:color="173262"/>
          <w:right w:val="single" w:sz="2" w:space="0" w:color="173262"/>
          <w:insideH w:val="single" w:sz="2" w:space="0" w:color="173262"/>
          <w:insideV w:val="single" w:sz="2" w:space="0" w:color="173262"/>
        </w:tblBorders>
        <w:tblCellMar>
          <w:left w:w="0" w:type="dxa"/>
          <w:right w:w="0" w:type="dxa"/>
        </w:tblCellMar>
        <w:tblLook w:val="0420" w:firstRow="1" w:lastRow="0" w:firstColumn="0" w:lastColumn="0" w:noHBand="0" w:noVBand="1"/>
      </w:tblPr>
      <w:tblGrid>
        <w:gridCol w:w="2788"/>
        <w:gridCol w:w="2767"/>
        <w:gridCol w:w="3627"/>
      </w:tblGrid>
      <w:tr w:rsidR="00FE4475" w:rsidRPr="00F55D08" w14:paraId="2A5B3101" w14:textId="77777777" w:rsidTr="00D66EEF">
        <w:trPr>
          <w:trHeight w:val="209"/>
          <w:tblHeader/>
          <w:jc w:val="center"/>
        </w:trPr>
        <w:tc>
          <w:tcPr>
            <w:tcW w:w="2788" w:type="dxa"/>
            <w:shd w:val="clear" w:color="auto" w:fill="139586"/>
          </w:tcPr>
          <w:p w14:paraId="67BFB5F3" w14:textId="77777777" w:rsidR="00FE4475" w:rsidRPr="003A3341" w:rsidRDefault="00FE4475" w:rsidP="00D66EEF">
            <w:pPr>
              <w:widowControl w:val="0"/>
              <w:suppressAutoHyphens/>
              <w:spacing w:after="120" w:line="240" w:lineRule="auto"/>
              <w:jc w:val="center"/>
              <w:rPr>
                <w:rFonts w:cstheme="minorHAnsi"/>
                <w:b/>
                <w:color w:val="FFFFFF"/>
                <w:sz w:val="18"/>
                <w:szCs w:val="18"/>
                <w:lang w:val="it-IT"/>
              </w:rPr>
            </w:pPr>
          </w:p>
        </w:tc>
        <w:tc>
          <w:tcPr>
            <w:tcW w:w="2767" w:type="dxa"/>
            <w:shd w:val="clear" w:color="auto" w:fill="139586"/>
          </w:tcPr>
          <w:p w14:paraId="40B41B38" w14:textId="77777777" w:rsidR="00FE4475" w:rsidRPr="003A3341" w:rsidRDefault="00FE4475" w:rsidP="00D66EEF">
            <w:pPr>
              <w:widowControl w:val="0"/>
              <w:suppressAutoHyphens/>
              <w:spacing w:after="120" w:line="240" w:lineRule="auto"/>
              <w:jc w:val="center"/>
              <w:rPr>
                <w:rFonts w:cstheme="minorHAnsi"/>
                <w:b/>
                <w:color w:val="FFFFFF"/>
                <w:sz w:val="18"/>
                <w:szCs w:val="18"/>
              </w:rPr>
            </w:pPr>
            <w:r w:rsidRPr="003A3341">
              <w:rPr>
                <w:rFonts w:cstheme="minorHAnsi"/>
                <w:b/>
                <w:color w:val="FFFFFF"/>
                <w:sz w:val="18"/>
                <w:szCs w:val="18"/>
              </w:rPr>
              <w:t xml:space="preserve">Offered Capacity (kWh/d) </w:t>
            </w:r>
          </w:p>
          <w:p w14:paraId="58851B6B" w14:textId="77777777" w:rsidR="00FE4475" w:rsidRPr="003A3341" w:rsidRDefault="00FE4475" w:rsidP="00D66EEF">
            <w:pPr>
              <w:widowControl w:val="0"/>
              <w:suppressAutoHyphens/>
              <w:spacing w:after="120" w:line="240" w:lineRule="auto"/>
              <w:jc w:val="center"/>
              <w:rPr>
                <w:rFonts w:cstheme="minorHAnsi"/>
                <w:b/>
                <w:color w:val="FFFFFF" w:themeColor="background1"/>
                <w:sz w:val="18"/>
                <w:szCs w:val="18"/>
              </w:rPr>
            </w:pPr>
            <w:r w:rsidRPr="003A3341">
              <w:rPr>
                <w:rFonts w:cstheme="minorHAnsi"/>
                <w:b/>
                <w:color w:val="FFFFFF"/>
                <w:sz w:val="18"/>
                <w:szCs w:val="18"/>
              </w:rPr>
              <w:t>Level 1</w:t>
            </w:r>
          </w:p>
        </w:tc>
        <w:tc>
          <w:tcPr>
            <w:tcW w:w="3627" w:type="dxa"/>
            <w:shd w:val="clear" w:color="auto" w:fill="139586"/>
            <w:vAlign w:val="center"/>
          </w:tcPr>
          <w:p w14:paraId="0579BD2E" w14:textId="77777777" w:rsidR="00FE4475" w:rsidRPr="003A3341" w:rsidRDefault="00FE4475" w:rsidP="00D66EEF">
            <w:pPr>
              <w:widowControl w:val="0"/>
              <w:suppressAutoHyphens/>
              <w:spacing w:after="120" w:line="240" w:lineRule="auto"/>
              <w:jc w:val="center"/>
              <w:rPr>
                <w:rFonts w:cstheme="minorHAnsi"/>
                <w:b/>
                <w:color w:val="FFFFFF" w:themeColor="background1"/>
                <w:sz w:val="18"/>
                <w:szCs w:val="18"/>
              </w:rPr>
            </w:pPr>
            <w:r w:rsidRPr="003A3341">
              <w:rPr>
                <w:rFonts w:cstheme="minorHAnsi"/>
                <w:b/>
                <w:color w:val="FFFFFF"/>
                <w:sz w:val="18"/>
                <w:szCs w:val="18"/>
              </w:rPr>
              <w:t>Entry / Exit and TSO offering capacity</w:t>
            </w:r>
          </w:p>
        </w:tc>
      </w:tr>
      <w:tr w:rsidR="00FE4475" w:rsidRPr="00F55D08" w14:paraId="12591F2F" w14:textId="77777777" w:rsidTr="00D66EEF">
        <w:trPr>
          <w:trHeight w:val="159"/>
          <w:jc w:val="center"/>
        </w:trPr>
        <w:tc>
          <w:tcPr>
            <w:tcW w:w="2788" w:type="dxa"/>
          </w:tcPr>
          <w:p w14:paraId="0773BC0C" w14:textId="77777777" w:rsidR="00FE4475" w:rsidRPr="003A3341" w:rsidRDefault="00FE4475" w:rsidP="00D66EEF">
            <w:pPr>
              <w:widowControl w:val="0"/>
              <w:suppressAutoHyphens/>
              <w:spacing w:after="120" w:line="240" w:lineRule="auto"/>
              <w:ind w:right="129"/>
              <w:jc w:val="center"/>
              <w:rPr>
                <w:rFonts w:cstheme="minorHAnsi"/>
                <w:sz w:val="18"/>
                <w:szCs w:val="18"/>
              </w:rPr>
            </w:pPr>
            <w:r w:rsidRPr="003A3341">
              <w:rPr>
                <w:rFonts w:cstheme="minorHAnsi"/>
                <w:sz w:val="18"/>
                <w:szCs w:val="18"/>
              </w:rPr>
              <w:t>Starting date</w:t>
            </w:r>
          </w:p>
        </w:tc>
        <w:tc>
          <w:tcPr>
            <w:tcW w:w="2767" w:type="dxa"/>
          </w:tcPr>
          <w:p w14:paraId="7E01D32D" w14:textId="77777777" w:rsidR="00FE4475" w:rsidRPr="003A3341" w:rsidRDefault="00FE4475" w:rsidP="00D66EEF">
            <w:pPr>
              <w:spacing w:line="240" w:lineRule="auto"/>
              <w:jc w:val="center"/>
              <w:rPr>
                <w:rFonts w:cstheme="minorHAnsi"/>
                <w:color w:val="000000"/>
                <w:sz w:val="18"/>
                <w:szCs w:val="18"/>
              </w:rPr>
            </w:pPr>
            <w:r w:rsidRPr="003A3341">
              <w:rPr>
                <w:rFonts w:cstheme="minorHAnsi"/>
                <w:color w:val="000000"/>
                <w:sz w:val="18"/>
                <w:szCs w:val="18"/>
              </w:rPr>
              <w:t>Q4</w:t>
            </w:r>
            <w:r w:rsidRPr="003A3341">
              <w:rPr>
                <w:rFonts w:eastAsia="Times New Roman" w:cstheme="minorHAnsi"/>
                <w:color w:val="000000"/>
                <w:sz w:val="18"/>
                <w:szCs w:val="18"/>
              </w:rPr>
              <w:t>-</w:t>
            </w:r>
            <w:r w:rsidRPr="003A3341">
              <w:rPr>
                <w:rFonts w:cstheme="minorHAnsi"/>
                <w:color w:val="000000"/>
                <w:sz w:val="18"/>
                <w:szCs w:val="18"/>
              </w:rPr>
              <w:t>2025</w:t>
            </w:r>
          </w:p>
        </w:tc>
        <w:tc>
          <w:tcPr>
            <w:tcW w:w="3627" w:type="dxa"/>
            <w:vMerge w:val="restart"/>
            <w:shd w:val="clear" w:color="auto" w:fill="auto"/>
            <w:vAlign w:val="center"/>
          </w:tcPr>
          <w:p w14:paraId="270F55BE" w14:textId="77777777" w:rsidR="00FE4475" w:rsidRPr="003A3341" w:rsidRDefault="00FE4475" w:rsidP="00D66EEF">
            <w:pPr>
              <w:widowControl w:val="0"/>
              <w:suppressAutoHyphens/>
              <w:spacing w:after="120" w:line="240" w:lineRule="auto"/>
              <w:ind w:right="129"/>
              <w:jc w:val="center"/>
              <w:rPr>
                <w:rFonts w:cstheme="minorHAnsi"/>
                <w:sz w:val="18"/>
                <w:szCs w:val="18"/>
              </w:rPr>
            </w:pPr>
            <w:r w:rsidRPr="003A3341">
              <w:rPr>
                <w:rFonts w:cstheme="minorHAnsi"/>
                <w:sz w:val="18"/>
                <w:szCs w:val="18"/>
              </w:rPr>
              <w:t xml:space="preserve">Exit DESFA and Entry TAP </w:t>
            </w:r>
          </w:p>
        </w:tc>
      </w:tr>
      <w:tr w:rsidR="00FE4475" w:rsidRPr="00F55D08" w14:paraId="7BBD6CEA" w14:textId="77777777" w:rsidTr="00D66EEF">
        <w:trPr>
          <w:trHeight w:val="128"/>
          <w:jc w:val="center"/>
        </w:trPr>
        <w:tc>
          <w:tcPr>
            <w:tcW w:w="2788" w:type="dxa"/>
          </w:tcPr>
          <w:p w14:paraId="000E1AA8" w14:textId="77777777" w:rsidR="00FE4475" w:rsidRPr="003A3341" w:rsidRDefault="00FE4475" w:rsidP="00D66EEF">
            <w:pPr>
              <w:widowControl w:val="0"/>
              <w:suppressAutoHyphens/>
              <w:spacing w:after="120" w:line="240" w:lineRule="auto"/>
              <w:ind w:right="129"/>
              <w:jc w:val="center"/>
              <w:rPr>
                <w:rFonts w:cstheme="minorHAnsi"/>
                <w:sz w:val="18"/>
                <w:szCs w:val="18"/>
              </w:rPr>
            </w:pPr>
            <w:r w:rsidRPr="003A3341">
              <w:rPr>
                <w:rFonts w:cstheme="minorHAnsi"/>
                <w:sz w:val="18"/>
                <w:szCs w:val="18"/>
              </w:rPr>
              <w:t>Capacity</w:t>
            </w:r>
          </w:p>
        </w:tc>
        <w:tc>
          <w:tcPr>
            <w:tcW w:w="2767" w:type="dxa"/>
          </w:tcPr>
          <w:p w14:paraId="38214492" w14:textId="77777777" w:rsidR="00FE4475" w:rsidRPr="003A3341" w:rsidRDefault="00FE4475" w:rsidP="00D66EEF">
            <w:pPr>
              <w:spacing w:line="240" w:lineRule="auto"/>
              <w:jc w:val="center"/>
              <w:rPr>
                <w:rFonts w:eastAsia="Arial" w:cstheme="minorHAnsi"/>
                <w:sz w:val="18"/>
                <w:szCs w:val="18"/>
              </w:rPr>
            </w:pPr>
            <w:r w:rsidRPr="003A3341">
              <w:rPr>
                <w:rFonts w:cstheme="minorHAnsi"/>
                <w:sz w:val="18"/>
                <w:szCs w:val="18"/>
              </w:rPr>
              <w:t>30,000,000</w:t>
            </w:r>
          </w:p>
        </w:tc>
        <w:tc>
          <w:tcPr>
            <w:tcW w:w="3627" w:type="dxa"/>
            <w:vMerge/>
          </w:tcPr>
          <w:p w14:paraId="6F506EF4" w14:textId="77777777" w:rsidR="00FE4475" w:rsidRPr="003A3341" w:rsidRDefault="00FE4475" w:rsidP="00D66EEF">
            <w:pPr>
              <w:widowControl w:val="0"/>
              <w:suppressAutoHyphens/>
              <w:spacing w:after="120" w:line="240" w:lineRule="auto"/>
              <w:ind w:right="129"/>
              <w:jc w:val="center"/>
              <w:rPr>
                <w:rFonts w:cstheme="minorHAnsi"/>
                <w:sz w:val="18"/>
                <w:szCs w:val="18"/>
              </w:rPr>
            </w:pPr>
          </w:p>
        </w:tc>
      </w:tr>
    </w:tbl>
    <w:p w14:paraId="2D084AF7" w14:textId="77777777" w:rsidR="00FE4475" w:rsidRPr="003A3341" w:rsidRDefault="00FE4475" w:rsidP="00FE4475">
      <w:pPr>
        <w:widowControl w:val="0"/>
        <w:suppressAutoHyphens/>
        <w:spacing w:after="120"/>
        <w:rPr>
          <w:rFonts w:cstheme="minorHAnsi"/>
          <w:b/>
          <w:sz w:val="18"/>
          <w:szCs w:val="18"/>
        </w:rPr>
      </w:pPr>
    </w:p>
    <w:p w14:paraId="3230A63F" w14:textId="30ABBC84" w:rsidR="00FE4475" w:rsidRPr="003A3341" w:rsidRDefault="00F55D08" w:rsidP="00FE4475">
      <w:pPr>
        <w:widowControl w:val="0"/>
        <w:spacing w:after="120"/>
        <w:rPr>
          <w:rFonts w:cstheme="minorHAnsi"/>
          <w:b/>
          <w:lang w:val="it-IT"/>
        </w:rPr>
      </w:pPr>
      <w:r w:rsidRPr="00F55D08">
        <w:rPr>
          <w:rFonts w:cstheme="minorHAnsi"/>
          <w:b/>
          <w:color w:val="000000" w:themeColor="text1"/>
        </w:rPr>
        <w:t xml:space="preserve">Incremental Capacity offered at </w:t>
      </w:r>
      <w:proofErr w:type="spellStart"/>
      <w:r w:rsidRPr="00F55D08">
        <w:rPr>
          <w:rFonts w:cstheme="minorHAnsi"/>
          <w:b/>
          <w:color w:val="000000" w:themeColor="text1"/>
        </w:rPr>
        <w:t>Nea</w:t>
      </w:r>
      <w:proofErr w:type="spellEnd"/>
      <w:r w:rsidRPr="00F55D08">
        <w:rPr>
          <w:rFonts w:cstheme="minorHAnsi"/>
          <w:b/>
          <w:color w:val="000000" w:themeColor="text1"/>
        </w:rPr>
        <w:t xml:space="preserve"> Mesimvria Interconnection Point </w:t>
      </w:r>
      <w:r w:rsidR="00FE4475" w:rsidRPr="003A3341">
        <w:rPr>
          <w:rFonts w:cstheme="minorHAnsi"/>
          <w:b/>
          <w:color w:val="000000" w:themeColor="text1"/>
        </w:rPr>
        <w:t>- Entry DESFA/Exit TAP</w:t>
      </w:r>
      <w:r w:rsidR="00FE4475" w:rsidRPr="003A3341">
        <w:rPr>
          <w:rFonts w:cstheme="minorHAnsi"/>
          <w:b/>
          <w:lang w:val="it-IT"/>
        </w:rPr>
        <w:t xml:space="preserve"> </w:t>
      </w:r>
    </w:p>
    <w:tbl>
      <w:tblPr>
        <w:tblW w:w="0" w:type="auto"/>
        <w:jc w:val="center"/>
        <w:tblBorders>
          <w:top w:val="single" w:sz="2" w:space="0" w:color="2E74B5" w:themeColor="accent1" w:themeShade="BF"/>
          <w:left w:val="single" w:sz="2" w:space="0" w:color="2E74B5" w:themeColor="accent1" w:themeShade="BF"/>
          <w:bottom w:val="single" w:sz="2" w:space="0" w:color="2E74B5" w:themeColor="accent1" w:themeShade="BF"/>
          <w:right w:val="single" w:sz="2" w:space="0" w:color="2E74B5" w:themeColor="accent1" w:themeShade="BF"/>
          <w:insideH w:val="single" w:sz="2" w:space="0" w:color="2E74B5" w:themeColor="accent1" w:themeShade="BF"/>
          <w:insideV w:val="single" w:sz="2" w:space="0" w:color="2E74B5" w:themeColor="accent1" w:themeShade="BF"/>
        </w:tblBorders>
        <w:tblLook w:val="0420" w:firstRow="1" w:lastRow="0" w:firstColumn="0" w:lastColumn="0" w:noHBand="0" w:noVBand="1"/>
      </w:tblPr>
      <w:tblGrid>
        <w:gridCol w:w="2163"/>
        <w:gridCol w:w="2150"/>
        <w:gridCol w:w="1957"/>
        <w:gridCol w:w="2786"/>
      </w:tblGrid>
      <w:tr w:rsidR="00FE4475" w:rsidRPr="00F55D08" w14:paraId="135BA260" w14:textId="77777777" w:rsidTr="00D66EEF">
        <w:trPr>
          <w:trHeight w:val="209"/>
          <w:jc w:val="center"/>
        </w:trPr>
        <w:tc>
          <w:tcPr>
            <w:tcW w:w="2194" w:type="dxa"/>
            <w:shd w:val="clear" w:color="auto" w:fill="139586"/>
          </w:tcPr>
          <w:p w14:paraId="0F66816D" w14:textId="77777777" w:rsidR="00FE4475" w:rsidRPr="003A3341" w:rsidRDefault="00FE4475" w:rsidP="00D66EEF">
            <w:pPr>
              <w:widowControl w:val="0"/>
              <w:spacing w:after="120" w:line="240" w:lineRule="auto"/>
              <w:jc w:val="center"/>
              <w:rPr>
                <w:rFonts w:cstheme="minorHAnsi"/>
                <w:b/>
                <w:color w:val="FFFFFF" w:themeColor="background1"/>
                <w:sz w:val="18"/>
                <w:szCs w:val="18"/>
                <w:lang w:val="it-IT"/>
              </w:rPr>
            </w:pPr>
          </w:p>
        </w:tc>
        <w:tc>
          <w:tcPr>
            <w:tcW w:w="2178" w:type="dxa"/>
            <w:shd w:val="clear" w:color="auto" w:fill="139586"/>
          </w:tcPr>
          <w:p w14:paraId="6A7FF176" w14:textId="77777777" w:rsidR="00FE4475" w:rsidRPr="003A3341" w:rsidRDefault="00FE4475" w:rsidP="00D66EEF">
            <w:pPr>
              <w:widowControl w:val="0"/>
              <w:spacing w:after="120" w:line="240" w:lineRule="auto"/>
              <w:jc w:val="center"/>
              <w:rPr>
                <w:rFonts w:cstheme="minorHAnsi"/>
                <w:b/>
                <w:bCs/>
                <w:color w:val="FFFFFF" w:themeColor="background1"/>
                <w:sz w:val="18"/>
                <w:szCs w:val="18"/>
              </w:rPr>
            </w:pPr>
            <w:r w:rsidRPr="003A3341">
              <w:rPr>
                <w:rFonts w:cstheme="minorHAnsi"/>
                <w:b/>
                <w:bCs/>
                <w:color w:val="FFFFFF" w:themeColor="background1"/>
                <w:sz w:val="18"/>
                <w:szCs w:val="18"/>
              </w:rPr>
              <w:t xml:space="preserve">Offered Capacity (kWh/d) </w:t>
            </w:r>
          </w:p>
          <w:p w14:paraId="495F24EB" w14:textId="77777777" w:rsidR="00FE4475" w:rsidRPr="003A3341" w:rsidRDefault="00FE4475" w:rsidP="00D66EEF">
            <w:pPr>
              <w:widowControl w:val="0"/>
              <w:spacing w:after="120" w:line="240" w:lineRule="auto"/>
              <w:jc w:val="center"/>
              <w:rPr>
                <w:rFonts w:cstheme="minorHAnsi"/>
                <w:b/>
                <w:bCs/>
                <w:color w:val="FFFFFF" w:themeColor="background1"/>
                <w:sz w:val="18"/>
                <w:szCs w:val="18"/>
              </w:rPr>
            </w:pPr>
            <w:r w:rsidRPr="003A3341">
              <w:rPr>
                <w:rFonts w:cstheme="minorHAnsi"/>
                <w:b/>
                <w:bCs/>
                <w:color w:val="FFFFFF" w:themeColor="background1"/>
                <w:sz w:val="18"/>
                <w:szCs w:val="18"/>
              </w:rPr>
              <w:t>Level 1</w:t>
            </w:r>
          </w:p>
        </w:tc>
        <w:tc>
          <w:tcPr>
            <w:tcW w:w="1980" w:type="dxa"/>
            <w:shd w:val="clear" w:color="auto" w:fill="139586"/>
          </w:tcPr>
          <w:p w14:paraId="6218182C" w14:textId="77777777" w:rsidR="00FE4475" w:rsidRPr="003A3341" w:rsidRDefault="00FE4475" w:rsidP="00D66EEF">
            <w:pPr>
              <w:spacing w:line="240" w:lineRule="auto"/>
              <w:jc w:val="center"/>
              <w:rPr>
                <w:rFonts w:cstheme="minorHAnsi"/>
                <w:b/>
                <w:bCs/>
                <w:color w:val="FFFFFF" w:themeColor="background1"/>
                <w:sz w:val="18"/>
                <w:szCs w:val="18"/>
              </w:rPr>
            </w:pPr>
            <w:r w:rsidRPr="003A3341">
              <w:rPr>
                <w:rFonts w:cstheme="minorHAnsi"/>
                <w:b/>
                <w:bCs/>
                <w:color w:val="FFFFFF" w:themeColor="background1"/>
                <w:sz w:val="18"/>
                <w:szCs w:val="18"/>
              </w:rPr>
              <w:t xml:space="preserve">Offered Capacity (kWh/d)  </w:t>
            </w:r>
          </w:p>
          <w:p w14:paraId="516430CA" w14:textId="77777777" w:rsidR="00FE4475" w:rsidRPr="003A3341" w:rsidRDefault="00FE4475" w:rsidP="00D66EEF">
            <w:pPr>
              <w:spacing w:line="240" w:lineRule="auto"/>
              <w:jc w:val="center"/>
              <w:rPr>
                <w:rFonts w:cstheme="minorHAnsi"/>
                <w:b/>
                <w:bCs/>
                <w:color w:val="FFFFFF" w:themeColor="background1"/>
                <w:sz w:val="18"/>
                <w:szCs w:val="18"/>
              </w:rPr>
            </w:pPr>
            <w:r w:rsidRPr="003A3341">
              <w:rPr>
                <w:rFonts w:cstheme="minorHAnsi"/>
                <w:b/>
                <w:bCs/>
                <w:color w:val="FFFFFF" w:themeColor="background1"/>
                <w:sz w:val="18"/>
                <w:szCs w:val="18"/>
              </w:rPr>
              <w:t>Level 2</w:t>
            </w:r>
          </w:p>
        </w:tc>
        <w:tc>
          <w:tcPr>
            <w:tcW w:w="2835" w:type="dxa"/>
            <w:shd w:val="clear" w:color="auto" w:fill="139586"/>
            <w:vAlign w:val="center"/>
          </w:tcPr>
          <w:p w14:paraId="0BB0A94D" w14:textId="77777777" w:rsidR="00FE4475" w:rsidRPr="003A3341" w:rsidRDefault="00FE4475" w:rsidP="00D66EEF">
            <w:pPr>
              <w:widowControl w:val="0"/>
              <w:spacing w:after="120" w:line="240" w:lineRule="auto"/>
              <w:jc w:val="center"/>
              <w:rPr>
                <w:rFonts w:cstheme="minorHAnsi"/>
                <w:b/>
                <w:bCs/>
                <w:color w:val="FFFFFF" w:themeColor="background1"/>
                <w:sz w:val="18"/>
                <w:szCs w:val="18"/>
              </w:rPr>
            </w:pPr>
            <w:r w:rsidRPr="003A3341">
              <w:rPr>
                <w:rFonts w:cstheme="minorHAnsi"/>
                <w:b/>
                <w:bCs/>
                <w:color w:val="FFFFFF" w:themeColor="background1"/>
                <w:sz w:val="18"/>
                <w:szCs w:val="18"/>
              </w:rPr>
              <w:t>Entry / Exit and TSO offering capacity</w:t>
            </w:r>
          </w:p>
        </w:tc>
      </w:tr>
      <w:tr w:rsidR="00FE4475" w:rsidRPr="00F55D08" w14:paraId="69418A90" w14:textId="77777777" w:rsidTr="00D66EEF">
        <w:trPr>
          <w:trHeight w:val="159"/>
          <w:jc w:val="center"/>
        </w:trPr>
        <w:tc>
          <w:tcPr>
            <w:tcW w:w="2194" w:type="dxa"/>
          </w:tcPr>
          <w:p w14:paraId="3D710794" w14:textId="77777777" w:rsidR="00FE4475" w:rsidRPr="003A3341" w:rsidRDefault="00FE4475" w:rsidP="00D66EEF">
            <w:pPr>
              <w:widowControl w:val="0"/>
              <w:spacing w:after="120" w:line="240" w:lineRule="auto"/>
              <w:ind w:right="129"/>
              <w:jc w:val="center"/>
              <w:rPr>
                <w:rFonts w:cstheme="minorHAnsi"/>
                <w:sz w:val="18"/>
                <w:szCs w:val="18"/>
              </w:rPr>
            </w:pPr>
            <w:r w:rsidRPr="003A3341">
              <w:rPr>
                <w:rFonts w:cstheme="minorHAnsi"/>
                <w:sz w:val="18"/>
                <w:szCs w:val="18"/>
              </w:rPr>
              <w:t>Starting date</w:t>
            </w:r>
          </w:p>
        </w:tc>
        <w:tc>
          <w:tcPr>
            <w:tcW w:w="2178" w:type="dxa"/>
          </w:tcPr>
          <w:p w14:paraId="343C9647" w14:textId="77777777" w:rsidR="00FE4475" w:rsidRPr="003A3341" w:rsidRDefault="00FE4475" w:rsidP="00D66EEF">
            <w:pPr>
              <w:spacing w:line="240" w:lineRule="auto"/>
              <w:jc w:val="center"/>
              <w:rPr>
                <w:rFonts w:eastAsia="Arial" w:cstheme="minorHAnsi"/>
                <w:sz w:val="18"/>
                <w:szCs w:val="18"/>
              </w:rPr>
            </w:pPr>
            <w:r w:rsidRPr="003A3341">
              <w:rPr>
                <w:rFonts w:cstheme="minorHAnsi"/>
                <w:color w:val="000000"/>
                <w:sz w:val="18"/>
                <w:szCs w:val="18"/>
              </w:rPr>
              <w:t>Q1 2027</w:t>
            </w:r>
          </w:p>
        </w:tc>
        <w:tc>
          <w:tcPr>
            <w:tcW w:w="1980" w:type="dxa"/>
          </w:tcPr>
          <w:p w14:paraId="135DEFA6" w14:textId="77777777" w:rsidR="00FE4475" w:rsidRPr="003A3341" w:rsidRDefault="00FE4475" w:rsidP="00D66EEF">
            <w:pPr>
              <w:spacing w:line="240" w:lineRule="auto"/>
              <w:jc w:val="center"/>
              <w:rPr>
                <w:rFonts w:eastAsia="Arial" w:cstheme="minorHAnsi"/>
                <w:sz w:val="18"/>
                <w:szCs w:val="18"/>
              </w:rPr>
            </w:pPr>
            <w:r w:rsidRPr="003A3341">
              <w:rPr>
                <w:rFonts w:cstheme="minorHAnsi"/>
                <w:color w:val="000000"/>
                <w:sz w:val="18"/>
                <w:szCs w:val="18"/>
              </w:rPr>
              <w:t>Q3 2027</w:t>
            </w:r>
          </w:p>
        </w:tc>
        <w:tc>
          <w:tcPr>
            <w:tcW w:w="2835" w:type="dxa"/>
            <w:vMerge w:val="restart"/>
            <w:shd w:val="clear" w:color="auto" w:fill="auto"/>
            <w:vAlign w:val="center"/>
          </w:tcPr>
          <w:p w14:paraId="15BF5C38" w14:textId="77777777" w:rsidR="00FE4475" w:rsidRPr="003A3341" w:rsidRDefault="00FE4475" w:rsidP="00D66EEF">
            <w:pPr>
              <w:widowControl w:val="0"/>
              <w:spacing w:after="120" w:line="240" w:lineRule="auto"/>
              <w:ind w:right="129"/>
              <w:jc w:val="center"/>
              <w:rPr>
                <w:rFonts w:cstheme="minorHAnsi"/>
                <w:sz w:val="18"/>
                <w:szCs w:val="18"/>
              </w:rPr>
            </w:pPr>
            <w:r w:rsidRPr="003A3341">
              <w:rPr>
                <w:rFonts w:cstheme="minorHAnsi"/>
                <w:sz w:val="18"/>
                <w:szCs w:val="18"/>
              </w:rPr>
              <w:t xml:space="preserve">Entry DESFA and Exit TAP </w:t>
            </w:r>
          </w:p>
        </w:tc>
      </w:tr>
      <w:tr w:rsidR="00FE4475" w:rsidRPr="00F55D08" w14:paraId="4A80BBFF" w14:textId="77777777" w:rsidTr="00D66EEF">
        <w:trPr>
          <w:trHeight w:val="128"/>
          <w:jc w:val="center"/>
        </w:trPr>
        <w:tc>
          <w:tcPr>
            <w:tcW w:w="2194" w:type="dxa"/>
          </w:tcPr>
          <w:p w14:paraId="126D9553" w14:textId="77777777" w:rsidR="00FE4475" w:rsidRPr="003A3341" w:rsidRDefault="00FE4475" w:rsidP="00D66EEF">
            <w:pPr>
              <w:widowControl w:val="0"/>
              <w:spacing w:after="120" w:line="240" w:lineRule="auto"/>
              <w:ind w:right="129"/>
              <w:jc w:val="center"/>
              <w:rPr>
                <w:rFonts w:cstheme="minorHAnsi"/>
                <w:sz w:val="18"/>
                <w:szCs w:val="18"/>
              </w:rPr>
            </w:pPr>
            <w:r w:rsidRPr="003A3341">
              <w:rPr>
                <w:rFonts w:cstheme="minorHAnsi"/>
                <w:sz w:val="18"/>
                <w:szCs w:val="18"/>
              </w:rPr>
              <w:t>Capacity</w:t>
            </w:r>
          </w:p>
        </w:tc>
        <w:tc>
          <w:tcPr>
            <w:tcW w:w="2178" w:type="dxa"/>
          </w:tcPr>
          <w:p w14:paraId="110650EB" w14:textId="77777777" w:rsidR="00FE4475" w:rsidRPr="003A3341" w:rsidRDefault="00FE4475" w:rsidP="00D66EEF">
            <w:pPr>
              <w:spacing w:line="240" w:lineRule="auto"/>
              <w:jc w:val="center"/>
              <w:rPr>
                <w:rFonts w:eastAsia="Arial" w:cstheme="minorHAnsi"/>
                <w:sz w:val="18"/>
                <w:szCs w:val="18"/>
              </w:rPr>
            </w:pPr>
            <w:r w:rsidRPr="003A3341">
              <w:rPr>
                <w:rFonts w:cstheme="minorHAnsi"/>
                <w:sz w:val="18"/>
                <w:szCs w:val="18"/>
              </w:rPr>
              <w:t>26,000,000</w:t>
            </w:r>
          </w:p>
        </w:tc>
        <w:tc>
          <w:tcPr>
            <w:tcW w:w="1980" w:type="dxa"/>
          </w:tcPr>
          <w:p w14:paraId="3A5B10F4" w14:textId="77777777" w:rsidR="00FE4475" w:rsidRPr="003A3341" w:rsidRDefault="00FE4475" w:rsidP="00D66EEF">
            <w:pPr>
              <w:spacing w:line="240" w:lineRule="auto"/>
              <w:jc w:val="center"/>
              <w:rPr>
                <w:rFonts w:eastAsia="Arial" w:cstheme="minorHAnsi"/>
                <w:sz w:val="18"/>
                <w:szCs w:val="18"/>
              </w:rPr>
            </w:pPr>
            <w:r w:rsidRPr="003A3341">
              <w:rPr>
                <w:rFonts w:cstheme="minorHAnsi"/>
                <w:sz w:val="18"/>
                <w:szCs w:val="18"/>
              </w:rPr>
              <w:t>49,000,000</w:t>
            </w:r>
          </w:p>
        </w:tc>
        <w:tc>
          <w:tcPr>
            <w:tcW w:w="2835" w:type="dxa"/>
            <w:vMerge/>
          </w:tcPr>
          <w:p w14:paraId="52A6225A" w14:textId="77777777" w:rsidR="00FE4475" w:rsidRPr="003A3341" w:rsidRDefault="00FE4475" w:rsidP="00D66EEF">
            <w:pPr>
              <w:rPr>
                <w:rFonts w:cstheme="minorHAnsi"/>
                <w:sz w:val="18"/>
                <w:szCs w:val="18"/>
              </w:rPr>
            </w:pPr>
          </w:p>
        </w:tc>
      </w:tr>
    </w:tbl>
    <w:p w14:paraId="47B915A8" w14:textId="77777777" w:rsidR="00FE4475" w:rsidRPr="003A3341" w:rsidRDefault="00FE4475" w:rsidP="00FE4475">
      <w:pPr>
        <w:widowControl w:val="0"/>
        <w:suppressAutoHyphens/>
        <w:spacing w:after="120"/>
        <w:rPr>
          <w:rFonts w:cstheme="minorHAnsi"/>
          <w:b/>
          <w:sz w:val="18"/>
          <w:szCs w:val="18"/>
        </w:rPr>
      </w:pPr>
    </w:p>
    <w:p w14:paraId="52463FC5" w14:textId="3D3630CD" w:rsidR="00582227" w:rsidRPr="001D27C6" w:rsidRDefault="000B2580">
      <w:pPr>
        <w:pStyle w:val="ListParagraph"/>
        <w:widowControl w:val="0"/>
        <w:numPr>
          <w:ilvl w:val="1"/>
          <w:numId w:val="24"/>
        </w:numPr>
        <w:suppressAutoHyphens/>
        <w:spacing w:after="120" w:line="360" w:lineRule="auto"/>
        <w:ind w:left="426" w:hanging="568"/>
        <w:jc w:val="both"/>
        <w:rPr>
          <w:rFonts w:cstheme="minorHAnsi"/>
        </w:rPr>
      </w:pPr>
      <w:r w:rsidRPr="001D27C6">
        <w:rPr>
          <w:rFonts w:cstheme="minorHAnsi"/>
        </w:rPr>
        <w:t xml:space="preserve">Taking into account that according to TAP specific regulatory framework, bundled capacity from DESFA and TAP can be offered only until the 14th November 2045, </w:t>
      </w:r>
      <w:r w:rsidR="00116C8D" w:rsidRPr="001D27C6">
        <w:rPr>
          <w:rFonts w:cstheme="minorHAnsi"/>
        </w:rPr>
        <w:t xml:space="preserve">DESFA shall offer </w:t>
      </w:r>
      <w:r w:rsidR="00CD6B12">
        <w:rPr>
          <w:rFonts w:cstheme="minorHAnsi"/>
        </w:rPr>
        <w:t xml:space="preserve">yearly capacity products up to that </w:t>
      </w:r>
      <w:proofErr w:type="gramStart"/>
      <w:r w:rsidR="00CD6B12">
        <w:rPr>
          <w:rFonts w:cstheme="minorHAnsi"/>
        </w:rPr>
        <w:t xml:space="preserve">date, </w:t>
      </w:r>
      <w:r w:rsidR="00116C8D" w:rsidRPr="001D27C6">
        <w:rPr>
          <w:rFonts w:cstheme="minorHAnsi"/>
        </w:rPr>
        <w:t xml:space="preserve"> expressed</w:t>
      </w:r>
      <w:proofErr w:type="gramEnd"/>
      <w:r w:rsidR="00116C8D" w:rsidRPr="001D27C6">
        <w:rPr>
          <w:rFonts w:cstheme="minorHAnsi"/>
        </w:rPr>
        <w:t xml:space="preserve"> in kWh/Gas Day. </w:t>
      </w:r>
      <w:r w:rsidR="000B6339" w:rsidRPr="001D27C6">
        <w:rPr>
          <w:rFonts w:cstheme="minorHAnsi"/>
        </w:rPr>
        <w:t xml:space="preserve">Incremental capacity will be offered as bundled products to Participants for a minimum duration of </w:t>
      </w:r>
      <w:r w:rsidR="00CD6B12">
        <w:rPr>
          <w:rFonts w:cstheme="minorHAnsi"/>
        </w:rPr>
        <w:t>3</w:t>
      </w:r>
      <w:r w:rsidR="00CD6B12" w:rsidRPr="001D27C6">
        <w:rPr>
          <w:rFonts w:cstheme="minorHAnsi"/>
        </w:rPr>
        <w:t xml:space="preserve"> </w:t>
      </w:r>
      <w:r w:rsidR="0061053C">
        <w:rPr>
          <w:rFonts w:cstheme="minorHAnsi"/>
        </w:rPr>
        <w:t>(</w:t>
      </w:r>
      <w:r w:rsidR="00CD6B12">
        <w:rPr>
          <w:rFonts w:cstheme="minorHAnsi"/>
        </w:rPr>
        <w:t>three</w:t>
      </w:r>
      <w:r w:rsidR="0061053C">
        <w:rPr>
          <w:rFonts w:cstheme="minorHAnsi"/>
        </w:rPr>
        <w:t xml:space="preserve">) </w:t>
      </w:r>
      <w:r w:rsidR="000B6339" w:rsidRPr="001D27C6">
        <w:rPr>
          <w:rFonts w:cstheme="minorHAnsi"/>
        </w:rPr>
        <w:t xml:space="preserve">consecutive gas years, and the latest possible end date. Demand requests of shorter duration will also be evaluated in the allocation process, subject to the restrictions described </w:t>
      </w:r>
      <w:r w:rsidR="007D4602" w:rsidRPr="001D27C6">
        <w:rPr>
          <w:rFonts w:cstheme="minorHAnsi"/>
        </w:rPr>
        <w:t>in the Project Proposal</w:t>
      </w:r>
      <w:r w:rsidR="000B6339" w:rsidRPr="001D27C6">
        <w:rPr>
          <w:rFonts w:cstheme="minorHAnsi"/>
        </w:rPr>
        <w:t>.</w:t>
      </w:r>
    </w:p>
    <w:p w14:paraId="6C093777" w14:textId="77777777" w:rsidR="007D0463" w:rsidRPr="001D27C6" w:rsidRDefault="007D0463">
      <w:pPr>
        <w:pStyle w:val="ListParagraph"/>
        <w:widowControl w:val="0"/>
        <w:numPr>
          <w:ilvl w:val="1"/>
          <w:numId w:val="24"/>
        </w:numPr>
        <w:suppressAutoHyphens/>
        <w:spacing w:after="120" w:line="360" w:lineRule="auto"/>
        <w:ind w:left="426" w:hanging="568"/>
        <w:jc w:val="both"/>
        <w:rPr>
          <w:rFonts w:cstheme="minorHAnsi"/>
        </w:rPr>
      </w:pPr>
      <w:r w:rsidRPr="001D27C6">
        <w:rPr>
          <w:rFonts w:cstheme="minorHAnsi"/>
        </w:rPr>
        <w:t xml:space="preserve">For incremental capacity offered by SRG and TAP in the frame of that </w:t>
      </w:r>
      <w:r w:rsidR="00762F6E" w:rsidRPr="001D27C6">
        <w:rPr>
          <w:rFonts w:cstheme="minorHAnsi"/>
        </w:rPr>
        <w:t>I</w:t>
      </w:r>
      <w:r w:rsidRPr="001D27C6">
        <w:rPr>
          <w:rFonts w:cstheme="minorHAnsi"/>
        </w:rPr>
        <w:t xml:space="preserve">ncremental </w:t>
      </w:r>
      <w:r w:rsidR="00762F6E" w:rsidRPr="001D27C6">
        <w:rPr>
          <w:rFonts w:cstheme="minorHAnsi"/>
        </w:rPr>
        <w:t>C</w:t>
      </w:r>
      <w:r w:rsidRPr="001D27C6">
        <w:rPr>
          <w:rFonts w:cstheme="minorHAnsi"/>
        </w:rPr>
        <w:t xml:space="preserve">apacity </w:t>
      </w:r>
      <w:r w:rsidR="00762F6E" w:rsidRPr="001D27C6">
        <w:rPr>
          <w:rFonts w:cstheme="minorHAnsi"/>
        </w:rPr>
        <w:t>P</w:t>
      </w:r>
      <w:r w:rsidRPr="001D27C6">
        <w:rPr>
          <w:rFonts w:cstheme="minorHAnsi"/>
        </w:rPr>
        <w:t>rocess, the interested parties must refer to the Project Proposal.</w:t>
      </w:r>
    </w:p>
    <w:p w14:paraId="38A1B456" w14:textId="62FAF1AD" w:rsidR="000A7EC0" w:rsidRPr="001D27C6" w:rsidRDefault="00656DF0">
      <w:pPr>
        <w:pStyle w:val="ListParagraph"/>
        <w:widowControl w:val="0"/>
        <w:numPr>
          <w:ilvl w:val="1"/>
          <w:numId w:val="24"/>
        </w:numPr>
        <w:suppressAutoHyphens/>
        <w:spacing w:after="120" w:line="360" w:lineRule="auto"/>
        <w:ind w:left="426" w:hanging="568"/>
        <w:jc w:val="both"/>
        <w:rPr>
          <w:rFonts w:cstheme="minorHAnsi"/>
        </w:rPr>
      </w:pPr>
      <w:r w:rsidRPr="001D27C6">
        <w:rPr>
          <w:rFonts w:cstheme="minorHAnsi"/>
        </w:rPr>
        <w:t xml:space="preserve">In line with the provisions </w:t>
      </w:r>
      <w:r w:rsidRPr="00DE17F7">
        <w:rPr>
          <w:rFonts w:cstheme="minorHAnsi"/>
        </w:rPr>
        <w:t xml:space="preserve">of </w:t>
      </w:r>
      <w:r w:rsidR="00B32F76" w:rsidRPr="007B52CF">
        <w:rPr>
          <w:rFonts w:cstheme="minorHAnsi"/>
        </w:rPr>
        <w:t>ar</w:t>
      </w:r>
      <w:r w:rsidRPr="007B52CF">
        <w:rPr>
          <w:rFonts w:cstheme="minorHAnsi"/>
        </w:rPr>
        <w:t>ticle 8</w:t>
      </w:r>
      <w:r w:rsidRPr="00DE17F7">
        <w:rPr>
          <w:rFonts w:cstheme="minorHAnsi"/>
        </w:rPr>
        <w:t xml:space="preserve"> of the CAM NC, an amount of 10% of the capacity </w:t>
      </w:r>
      <w:proofErr w:type="gramStart"/>
      <w:r w:rsidRPr="00DE17F7">
        <w:rPr>
          <w:rFonts w:cstheme="minorHAnsi"/>
        </w:rPr>
        <w:t>actually built</w:t>
      </w:r>
      <w:proofErr w:type="gramEnd"/>
      <w:r w:rsidRPr="00DE17F7">
        <w:rPr>
          <w:rFonts w:cstheme="minorHAnsi"/>
        </w:rPr>
        <w:t xml:space="preserve"> will be set aside to be offered as short</w:t>
      </w:r>
      <w:r w:rsidRPr="001D27C6">
        <w:rPr>
          <w:rFonts w:cstheme="minorHAnsi"/>
        </w:rPr>
        <w:t xml:space="preserve">-term capacity and in addition to the </w:t>
      </w:r>
      <w:r w:rsidR="000F1945" w:rsidRPr="001D27C6">
        <w:rPr>
          <w:rFonts w:cstheme="minorHAnsi"/>
        </w:rPr>
        <w:t>capacit</w:t>
      </w:r>
      <w:r w:rsidR="006322BD">
        <w:rPr>
          <w:rFonts w:cstheme="minorHAnsi"/>
        </w:rPr>
        <w:t>ies</w:t>
      </w:r>
      <w:r w:rsidR="000F1945" w:rsidRPr="001D27C6">
        <w:rPr>
          <w:rFonts w:cstheme="minorHAnsi"/>
        </w:rPr>
        <w:t xml:space="preserve"> </w:t>
      </w:r>
      <w:r w:rsidR="002B5BB9" w:rsidRPr="001D27C6">
        <w:rPr>
          <w:rFonts w:cstheme="minorHAnsi"/>
        </w:rPr>
        <w:t xml:space="preserve">included in the table in </w:t>
      </w:r>
      <w:r w:rsidR="007220E7">
        <w:rPr>
          <w:rFonts w:cstheme="minorHAnsi"/>
        </w:rPr>
        <w:t xml:space="preserve">Article </w:t>
      </w:r>
      <w:r w:rsidR="002B5BB9" w:rsidRPr="001D27C6">
        <w:rPr>
          <w:rFonts w:cstheme="minorHAnsi"/>
        </w:rPr>
        <w:t>3.1</w:t>
      </w:r>
      <w:r w:rsidR="00B32F76" w:rsidRPr="001D27C6">
        <w:rPr>
          <w:rFonts w:cstheme="minorHAnsi"/>
        </w:rPr>
        <w:t xml:space="preserve"> above</w:t>
      </w:r>
      <w:r w:rsidRPr="001D27C6">
        <w:rPr>
          <w:rFonts w:cstheme="minorHAnsi"/>
        </w:rPr>
        <w:t xml:space="preserve">. </w:t>
      </w:r>
    </w:p>
    <w:p w14:paraId="2E90147F" w14:textId="77777777" w:rsidR="00101D74" w:rsidRPr="001D27C6" w:rsidRDefault="002B5BB9">
      <w:pPr>
        <w:pStyle w:val="ListParagraph"/>
        <w:widowControl w:val="0"/>
        <w:numPr>
          <w:ilvl w:val="1"/>
          <w:numId w:val="24"/>
        </w:numPr>
        <w:suppressAutoHyphens/>
        <w:spacing w:after="120" w:line="360" w:lineRule="auto"/>
        <w:ind w:left="426" w:hanging="568"/>
        <w:jc w:val="both"/>
        <w:rPr>
          <w:rFonts w:cstheme="minorHAnsi"/>
        </w:rPr>
      </w:pPr>
      <w:r w:rsidRPr="001D27C6">
        <w:rPr>
          <w:rFonts w:cstheme="minorHAnsi"/>
        </w:rPr>
        <w:t>E</w:t>
      </w:r>
      <w:r w:rsidR="00656DF0" w:rsidRPr="001D27C6">
        <w:rPr>
          <w:rFonts w:cstheme="minorHAnsi"/>
        </w:rPr>
        <w:t xml:space="preserve">ach Gas Year, for which </w:t>
      </w:r>
      <w:r w:rsidR="00E132CA" w:rsidRPr="001D27C6">
        <w:rPr>
          <w:rFonts w:cstheme="minorHAnsi"/>
        </w:rPr>
        <w:t>incremental</w:t>
      </w:r>
      <w:r w:rsidR="00656DF0" w:rsidRPr="001D27C6">
        <w:rPr>
          <w:rFonts w:cstheme="minorHAnsi"/>
        </w:rPr>
        <w:t xml:space="preserve"> Capacity is requested, is considered as a </w:t>
      </w:r>
      <w:r w:rsidR="00782F08" w:rsidRPr="001D27C6">
        <w:rPr>
          <w:rFonts w:cstheme="minorHAnsi"/>
        </w:rPr>
        <w:t xml:space="preserve">distinct </w:t>
      </w:r>
      <w:r w:rsidR="00656DF0" w:rsidRPr="001D27C6">
        <w:rPr>
          <w:rFonts w:cstheme="minorHAnsi"/>
        </w:rPr>
        <w:t xml:space="preserve">Product. Participants shall declare the Capacity </w:t>
      </w:r>
      <w:r w:rsidR="000A7EC0" w:rsidRPr="001D27C6">
        <w:rPr>
          <w:rFonts w:cstheme="minorHAnsi"/>
        </w:rPr>
        <w:t xml:space="preserve">requested </w:t>
      </w:r>
      <w:r w:rsidR="00656DF0" w:rsidRPr="001D27C6">
        <w:rPr>
          <w:rFonts w:cstheme="minorHAnsi"/>
        </w:rPr>
        <w:t xml:space="preserve">in the Binding </w:t>
      </w:r>
      <w:r w:rsidR="005C2729" w:rsidRPr="001D27C6">
        <w:rPr>
          <w:rFonts w:cstheme="minorHAnsi"/>
        </w:rPr>
        <w:t xml:space="preserve">Bid </w:t>
      </w:r>
      <w:r w:rsidR="00656DF0" w:rsidRPr="001D27C6">
        <w:rPr>
          <w:rFonts w:cstheme="minorHAnsi"/>
        </w:rPr>
        <w:t>Form</w:t>
      </w:r>
      <w:r w:rsidR="00762F6E" w:rsidRPr="001D27C6">
        <w:rPr>
          <w:rFonts w:cstheme="minorHAnsi"/>
        </w:rPr>
        <w:t xml:space="preserve"> attached in Annex </w:t>
      </w:r>
      <w:r w:rsidR="004733DD" w:rsidRPr="001D27C6">
        <w:rPr>
          <w:rFonts w:cstheme="minorHAnsi"/>
        </w:rPr>
        <w:t>II</w:t>
      </w:r>
      <w:r w:rsidR="00101D74" w:rsidRPr="001D27C6">
        <w:rPr>
          <w:rFonts w:cstheme="minorHAnsi"/>
        </w:rPr>
        <w:t>.</w:t>
      </w:r>
    </w:p>
    <w:p w14:paraId="686F0A06" w14:textId="77777777" w:rsidR="00656DF0" w:rsidRPr="001D27C6" w:rsidRDefault="00656DF0">
      <w:pPr>
        <w:pStyle w:val="ListParagraph"/>
        <w:widowControl w:val="0"/>
        <w:numPr>
          <w:ilvl w:val="1"/>
          <w:numId w:val="24"/>
        </w:numPr>
        <w:suppressAutoHyphens/>
        <w:spacing w:after="120" w:line="360" w:lineRule="auto"/>
        <w:ind w:left="426" w:hanging="568"/>
        <w:jc w:val="both"/>
        <w:rPr>
          <w:rFonts w:cstheme="minorHAnsi"/>
        </w:rPr>
      </w:pPr>
      <w:r w:rsidRPr="001D27C6">
        <w:rPr>
          <w:rFonts w:cstheme="minorHAnsi"/>
        </w:rPr>
        <w:t xml:space="preserve">Participants </w:t>
      </w:r>
      <w:r w:rsidR="00101D74" w:rsidRPr="001D27C6">
        <w:rPr>
          <w:rFonts w:cstheme="minorHAnsi"/>
        </w:rPr>
        <w:t>must also</w:t>
      </w:r>
      <w:r w:rsidRPr="001D27C6">
        <w:rPr>
          <w:rFonts w:cstheme="minorHAnsi"/>
        </w:rPr>
        <w:t xml:space="preserve"> declare, in the Binding </w:t>
      </w:r>
      <w:r w:rsidR="00101D74" w:rsidRPr="001D27C6">
        <w:rPr>
          <w:rFonts w:cstheme="minorHAnsi"/>
        </w:rPr>
        <w:t xml:space="preserve">Bid </w:t>
      </w:r>
      <w:r w:rsidRPr="001D27C6">
        <w:rPr>
          <w:rFonts w:cstheme="minorHAnsi"/>
        </w:rPr>
        <w:t xml:space="preserve">Form, whether they accept, or not, the allocation of a capacity lower than </w:t>
      </w:r>
      <w:r w:rsidR="00392FB1" w:rsidRPr="001D27C6">
        <w:rPr>
          <w:rFonts w:cstheme="minorHAnsi"/>
        </w:rPr>
        <w:t>the capacity requested with their Binding Bid</w:t>
      </w:r>
      <w:r w:rsidRPr="001D27C6">
        <w:rPr>
          <w:rFonts w:cstheme="minorHAnsi"/>
        </w:rPr>
        <w:t>, in case there will not be sufficient capacity available to be allocated to all Participants in accordance with their requests.</w:t>
      </w:r>
    </w:p>
    <w:p w14:paraId="06E089BC" w14:textId="77777777" w:rsidR="00AB2293" w:rsidRPr="001D27C6" w:rsidRDefault="00AB2293" w:rsidP="00E806B1">
      <w:pPr>
        <w:widowControl w:val="0"/>
        <w:suppressAutoHyphens/>
        <w:spacing w:after="120" w:line="360" w:lineRule="auto"/>
        <w:jc w:val="both"/>
        <w:rPr>
          <w:rFonts w:cstheme="minorHAnsi"/>
        </w:rPr>
      </w:pPr>
    </w:p>
    <w:p w14:paraId="6F10A6F1" w14:textId="77777777" w:rsidR="007D0463" w:rsidRPr="001D27C6" w:rsidRDefault="003D5005" w:rsidP="009553BC">
      <w:pPr>
        <w:pStyle w:val="Heading1"/>
        <w:spacing w:after="160"/>
      </w:pPr>
      <w:bookmarkStart w:id="19" w:name="_Toc495669330"/>
      <w:bookmarkStart w:id="20" w:name="_Toc496007350"/>
      <w:bookmarkStart w:id="21" w:name="_Toc496026859"/>
      <w:bookmarkStart w:id="22" w:name="_Toc496027154"/>
      <w:bookmarkStart w:id="23" w:name="_Toc496031040"/>
      <w:bookmarkStart w:id="24" w:name="_Toc496031106"/>
      <w:bookmarkStart w:id="25" w:name="_Toc496031151"/>
      <w:bookmarkStart w:id="26" w:name="_Toc496179263"/>
      <w:bookmarkStart w:id="27" w:name="_Toc496185920"/>
      <w:bookmarkStart w:id="28" w:name="_Toc25850986"/>
      <w:bookmarkStart w:id="29" w:name="_Toc26384424"/>
      <w:bookmarkStart w:id="30" w:name="_Toc28009889"/>
      <w:bookmarkStart w:id="31" w:name="_Toc37333756"/>
      <w:bookmarkStart w:id="32" w:name="_Toc71289526"/>
      <w:bookmarkStart w:id="33" w:name="_Toc119485255"/>
      <w:bookmarkEnd w:id="19"/>
      <w:bookmarkEnd w:id="20"/>
      <w:bookmarkEnd w:id="21"/>
      <w:bookmarkEnd w:id="22"/>
      <w:bookmarkEnd w:id="23"/>
      <w:bookmarkEnd w:id="24"/>
      <w:bookmarkEnd w:id="25"/>
      <w:bookmarkEnd w:id="26"/>
      <w:bookmarkEnd w:id="27"/>
      <w:bookmarkEnd w:id="28"/>
      <w:bookmarkEnd w:id="29"/>
      <w:r w:rsidRPr="001D27C6">
        <w:t xml:space="preserve">Article </w:t>
      </w:r>
      <w:r w:rsidR="00473712" w:rsidRPr="001D27C6">
        <w:t>4</w:t>
      </w:r>
      <w:r w:rsidRPr="001D27C6">
        <w:t xml:space="preserve"> - </w:t>
      </w:r>
      <w:r w:rsidR="007D0463" w:rsidRPr="001D27C6">
        <w:t>Provisional Timeline</w:t>
      </w:r>
      <w:bookmarkEnd w:id="30"/>
      <w:bookmarkEnd w:id="31"/>
      <w:bookmarkEnd w:id="32"/>
      <w:bookmarkEnd w:id="33"/>
    </w:p>
    <w:p w14:paraId="6CE16DD9" w14:textId="50166572" w:rsidR="009F3DFB" w:rsidRPr="001D27C6" w:rsidRDefault="007D0463">
      <w:pPr>
        <w:pStyle w:val="ListParagraph"/>
        <w:widowControl w:val="0"/>
        <w:numPr>
          <w:ilvl w:val="1"/>
          <w:numId w:val="27"/>
        </w:numPr>
        <w:suppressAutoHyphens/>
        <w:spacing w:after="120" w:line="360" w:lineRule="auto"/>
        <w:ind w:left="426" w:hanging="568"/>
        <w:jc w:val="both"/>
        <w:rPr>
          <w:rFonts w:cstheme="minorHAnsi"/>
        </w:rPr>
      </w:pPr>
      <w:r w:rsidRPr="001D27C6">
        <w:rPr>
          <w:rFonts w:cstheme="minorHAnsi"/>
        </w:rPr>
        <w:t xml:space="preserve">The Binding </w:t>
      </w:r>
      <w:r w:rsidR="00066C5E" w:rsidRPr="001D27C6">
        <w:rPr>
          <w:rFonts w:cstheme="minorHAnsi"/>
        </w:rPr>
        <w:t>Bi</w:t>
      </w:r>
      <w:r w:rsidR="00AB2293">
        <w:rPr>
          <w:rFonts w:cstheme="minorHAnsi"/>
        </w:rPr>
        <w:t>d</w:t>
      </w:r>
      <w:r w:rsidR="00066C5E" w:rsidRPr="001D27C6">
        <w:rPr>
          <w:rFonts w:cstheme="minorHAnsi"/>
        </w:rPr>
        <w:t xml:space="preserve">ding </w:t>
      </w:r>
      <w:r w:rsidRPr="001D27C6">
        <w:rPr>
          <w:rFonts w:cstheme="minorHAnsi"/>
        </w:rPr>
        <w:t>Phase commence</w:t>
      </w:r>
      <w:r w:rsidR="00732E0A" w:rsidRPr="001D27C6">
        <w:rPr>
          <w:rFonts w:cstheme="minorHAnsi"/>
        </w:rPr>
        <w:t>s</w:t>
      </w:r>
      <w:r w:rsidRPr="001D27C6">
        <w:rPr>
          <w:rFonts w:cstheme="minorHAnsi"/>
        </w:rPr>
        <w:t xml:space="preserve"> with the publication of the Joint Notice on the websites of </w:t>
      </w:r>
      <w:r w:rsidR="00477E92" w:rsidRPr="001D27C6">
        <w:rPr>
          <w:rFonts w:cstheme="minorHAnsi"/>
        </w:rPr>
        <w:t>DESFA</w:t>
      </w:r>
      <w:r w:rsidRPr="001D27C6">
        <w:rPr>
          <w:rFonts w:cstheme="minorHAnsi"/>
        </w:rPr>
        <w:t xml:space="preserve">, </w:t>
      </w:r>
      <w:r w:rsidR="00477E92" w:rsidRPr="001D27C6">
        <w:rPr>
          <w:rFonts w:cstheme="minorHAnsi"/>
        </w:rPr>
        <w:t xml:space="preserve">TAP </w:t>
      </w:r>
      <w:r w:rsidRPr="001D27C6">
        <w:rPr>
          <w:rFonts w:cstheme="minorHAnsi"/>
        </w:rPr>
        <w:t>and</w:t>
      </w:r>
      <w:r w:rsidR="00477E92" w:rsidRPr="001D27C6">
        <w:rPr>
          <w:rFonts w:cstheme="minorHAnsi"/>
        </w:rPr>
        <w:t xml:space="preserve"> SRG</w:t>
      </w:r>
      <w:r w:rsidRPr="001D27C6">
        <w:rPr>
          <w:rFonts w:cstheme="minorHAnsi"/>
        </w:rPr>
        <w:t xml:space="preserve">, </w:t>
      </w:r>
      <w:r w:rsidR="00453512" w:rsidRPr="001D27C6">
        <w:rPr>
          <w:rFonts w:cstheme="minorHAnsi"/>
        </w:rPr>
        <w:t>on</w:t>
      </w:r>
      <w:r w:rsidR="00732E0A" w:rsidRPr="001D27C6">
        <w:rPr>
          <w:rFonts w:cstheme="minorHAnsi"/>
        </w:rPr>
        <w:t xml:space="preserve"> the </w:t>
      </w:r>
      <w:r w:rsidRPr="001D27C6">
        <w:rPr>
          <w:rFonts w:cstheme="minorHAnsi"/>
        </w:rPr>
        <w:t>1</w:t>
      </w:r>
      <w:r w:rsidR="008572A8">
        <w:rPr>
          <w:rFonts w:cstheme="minorHAnsi"/>
        </w:rPr>
        <w:t>4</w:t>
      </w:r>
      <w:r w:rsidR="00732E0A" w:rsidRPr="001D27C6">
        <w:rPr>
          <w:rFonts w:cstheme="minorHAnsi"/>
          <w:vertAlign w:val="superscript"/>
        </w:rPr>
        <w:t>th</w:t>
      </w:r>
      <w:r w:rsidR="00477E92" w:rsidRPr="001D27C6">
        <w:rPr>
          <w:rFonts w:cstheme="minorHAnsi"/>
        </w:rPr>
        <w:t xml:space="preserve"> </w:t>
      </w:r>
      <w:r w:rsidR="00732E0A" w:rsidRPr="001D27C6">
        <w:rPr>
          <w:rFonts w:cstheme="minorHAnsi"/>
        </w:rPr>
        <w:t>of</w:t>
      </w:r>
      <w:r w:rsidRPr="001D27C6">
        <w:rPr>
          <w:rFonts w:cstheme="minorHAnsi"/>
        </w:rPr>
        <w:t xml:space="preserve"> </w:t>
      </w:r>
      <w:r w:rsidR="006313A0">
        <w:rPr>
          <w:rFonts w:cstheme="minorHAnsi"/>
        </w:rPr>
        <w:t>November</w:t>
      </w:r>
      <w:r w:rsidRPr="001D27C6">
        <w:rPr>
          <w:rFonts w:cstheme="minorHAnsi"/>
        </w:rPr>
        <w:t xml:space="preserve"> 202</w:t>
      </w:r>
      <w:r w:rsidR="006313A0">
        <w:rPr>
          <w:rFonts w:cstheme="minorHAnsi"/>
        </w:rPr>
        <w:t>2</w:t>
      </w:r>
      <w:r w:rsidRPr="001D27C6">
        <w:rPr>
          <w:rFonts w:cstheme="minorHAnsi"/>
        </w:rPr>
        <w:t>.</w:t>
      </w:r>
      <w:r w:rsidRPr="001D27C6">
        <w:rPr>
          <w:rFonts w:cstheme="minorHAnsi"/>
        </w:rPr>
        <w:fldChar w:fldCharType="begin"/>
      </w:r>
      <w:r w:rsidRPr="001D27C6">
        <w:rPr>
          <w:rFonts w:cstheme="minorHAnsi"/>
        </w:rPr>
        <w:instrText xml:space="preserve"> XE "Binding Bidding Phase Notice" </w:instrText>
      </w:r>
      <w:r w:rsidRPr="001D27C6">
        <w:rPr>
          <w:rFonts w:cstheme="minorHAnsi"/>
        </w:rPr>
        <w:fldChar w:fldCharType="end"/>
      </w:r>
      <w:r w:rsidRPr="001D27C6">
        <w:rPr>
          <w:rFonts w:cstheme="minorHAnsi"/>
        </w:rPr>
        <w:t xml:space="preserve"> </w:t>
      </w:r>
      <w:r w:rsidR="00B931AA" w:rsidRPr="001D27C6">
        <w:rPr>
          <w:rFonts w:cstheme="minorHAnsi"/>
        </w:rPr>
        <w:t>The Binding Bid</w:t>
      </w:r>
      <w:r w:rsidR="00CC66A2">
        <w:rPr>
          <w:rFonts w:cstheme="minorHAnsi"/>
        </w:rPr>
        <w:t>d</w:t>
      </w:r>
      <w:r w:rsidR="00B931AA" w:rsidRPr="001D27C6">
        <w:rPr>
          <w:rFonts w:cstheme="minorHAnsi"/>
        </w:rPr>
        <w:t xml:space="preserve">ing Phase of DESFA comprise the </w:t>
      </w:r>
      <w:r w:rsidR="00A637AD">
        <w:rPr>
          <w:rFonts w:cstheme="minorHAnsi"/>
        </w:rPr>
        <w:t>Information</w:t>
      </w:r>
      <w:r w:rsidR="00A637AD" w:rsidRPr="001D27C6">
        <w:rPr>
          <w:rFonts w:cstheme="minorHAnsi"/>
        </w:rPr>
        <w:t xml:space="preserve"> </w:t>
      </w:r>
      <w:r w:rsidR="00B931AA" w:rsidRPr="001D27C6">
        <w:rPr>
          <w:rFonts w:cstheme="minorHAnsi"/>
        </w:rPr>
        <w:t xml:space="preserve">Phase and the </w:t>
      </w:r>
      <w:r w:rsidR="00A637AD">
        <w:rPr>
          <w:rFonts w:cstheme="minorHAnsi"/>
        </w:rPr>
        <w:t xml:space="preserve">Binding </w:t>
      </w:r>
      <w:r w:rsidR="00B931AA" w:rsidRPr="001D27C6">
        <w:rPr>
          <w:rFonts w:cstheme="minorHAnsi"/>
        </w:rPr>
        <w:t>Bi</w:t>
      </w:r>
      <w:r w:rsidR="00CC66A2">
        <w:rPr>
          <w:rFonts w:cstheme="minorHAnsi"/>
        </w:rPr>
        <w:t>d</w:t>
      </w:r>
      <w:r w:rsidR="00B931AA" w:rsidRPr="001D27C6">
        <w:rPr>
          <w:rFonts w:cstheme="minorHAnsi"/>
        </w:rPr>
        <w:t>ding Phase as per Article 5.</w:t>
      </w:r>
    </w:p>
    <w:p w14:paraId="1F40193E" w14:textId="77777777" w:rsidR="00431D5B" w:rsidRPr="001D27C6" w:rsidRDefault="00BB4587">
      <w:pPr>
        <w:pStyle w:val="ListParagraph"/>
        <w:widowControl w:val="0"/>
        <w:numPr>
          <w:ilvl w:val="1"/>
          <w:numId w:val="27"/>
        </w:numPr>
        <w:suppressAutoHyphens/>
        <w:spacing w:after="120" w:line="360" w:lineRule="auto"/>
        <w:ind w:left="426" w:hanging="568"/>
        <w:jc w:val="both"/>
        <w:rPr>
          <w:rFonts w:cstheme="minorHAnsi"/>
        </w:rPr>
      </w:pPr>
      <w:r w:rsidRPr="001D27C6">
        <w:rPr>
          <w:rFonts w:cstheme="minorHAnsi"/>
        </w:rPr>
        <w:lastRenderedPageBreak/>
        <w:t xml:space="preserve">The </w:t>
      </w:r>
      <w:r w:rsidR="00187C3A" w:rsidRPr="001D27C6">
        <w:rPr>
          <w:rFonts w:cstheme="minorHAnsi"/>
        </w:rPr>
        <w:t>entities</w:t>
      </w:r>
      <w:r w:rsidRPr="001D27C6">
        <w:rPr>
          <w:rFonts w:cstheme="minorHAnsi"/>
        </w:rPr>
        <w:t xml:space="preserve"> interested in participating in the Binding Bidding Phase are requested to register </w:t>
      </w:r>
      <w:proofErr w:type="gramStart"/>
      <w:r w:rsidRPr="001D27C6">
        <w:rPr>
          <w:rFonts w:cstheme="minorHAnsi"/>
        </w:rPr>
        <w:t>in order to</w:t>
      </w:r>
      <w:proofErr w:type="gramEnd"/>
      <w:r w:rsidRPr="001D27C6">
        <w:rPr>
          <w:rFonts w:cstheme="minorHAnsi"/>
        </w:rPr>
        <w:t xml:space="preserve"> participate</w:t>
      </w:r>
      <w:r w:rsidR="003224AD">
        <w:rPr>
          <w:rFonts w:cstheme="minorHAnsi"/>
        </w:rPr>
        <w:t>,</w:t>
      </w:r>
      <w:r w:rsidR="008772AB" w:rsidRPr="001D27C6">
        <w:rPr>
          <w:rFonts w:cstheme="minorHAnsi"/>
        </w:rPr>
        <w:t xml:space="preserve"> </w:t>
      </w:r>
      <w:r w:rsidR="00F355E7" w:rsidRPr="001D27C6">
        <w:rPr>
          <w:rFonts w:cstheme="minorHAnsi"/>
        </w:rPr>
        <w:t>subject</w:t>
      </w:r>
      <w:r w:rsidR="008772AB" w:rsidRPr="001D27C6">
        <w:rPr>
          <w:rFonts w:cstheme="minorHAnsi"/>
        </w:rPr>
        <w:t xml:space="preserve"> to the requirements described in this notice</w:t>
      </w:r>
      <w:r w:rsidRPr="001D27C6">
        <w:rPr>
          <w:rFonts w:cstheme="minorHAnsi"/>
        </w:rPr>
        <w:t xml:space="preserve">. </w:t>
      </w:r>
    </w:p>
    <w:p w14:paraId="7915194A" w14:textId="063E99F7" w:rsidR="00290A0C" w:rsidRPr="001D27C6" w:rsidRDefault="00273EBB">
      <w:pPr>
        <w:pStyle w:val="ListParagraph"/>
        <w:widowControl w:val="0"/>
        <w:numPr>
          <w:ilvl w:val="1"/>
          <w:numId w:val="27"/>
        </w:numPr>
        <w:suppressAutoHyphens/>
        <w:spacing w:after="120" w:line="360" w:lineRule="auto"/>
        <w:ind w:left="426" w:hanging="568"/>
        <w:jc w:val="both"/>
        <w:rPr>
          <w:rFonts w:cstheme="minorHAnsi"/>
        </w:rPr>
      </w:pPr>
      <w:r w:rsidRPr="001D27C6">
        <w:rPr>
          <w:rFonts w:cstheme="minorHAnsi"/>
        </w:rPr>
        <w:t xml:space="preserve">The Bid Submission Window will open in </w:t>
      </w:r>
      <w:r w:rsidR="00EE5ADF">
        <w:rPr>
          <w:rFonts w:cstheme="minorHAnsi"/>
        </w:rPr>
        <w:t>January 202</w:t>
      </w:r>
      <w:r w:rsidR="00E41DA6">
        <w:rPr>
          <w:rFonts w:cstheme="minorHAnsi"/>
        </w:rPr>
        <w:t>3</w:t>
      </w:r>
      <w:r w:rsidRPr="001D27C6">
        <w:rPr>
          <w:rFonts w:cstheme="minorHAnsi"/>
        </w:rPr>
        <w:t xml:space="preserve"> </w:t>
      </w:r>
      <w:r w:rsidR="00995C3A" w:rsidRPr="001D27C6">
        <w:rPr>
          <w:rFonts w:cstheme="minorHAnsi"/>
        </w:rPr>
        <w:t xml:space="preserve">to all interested parties, including those that have not submitted a non-binding demand indication during the non-binding phase, and </w:t>
      </w:r>
      <w:r w:rsidRPr="001D27C6">
        <w:rPr>
          <w:rFonts w:cstheme="minorHAnsi"/>
        </w:rPr>
        <w:t>as described in detail in the Project Proposal and the Joint Notice.</w:t>
      </w:r>
      <w:r w:rsidR="00B805B9" w:rsidRPr="001D27C6">
        <w:rPr>
          <w:rFonts w:cstheme="minorHAnsi"/>
        </w:rPr>
        <w:t xml:space="preserve"> </w:t>
      </w:r>
    </w:p>
    <w:p w14:paraId="39782DCF" w14:textId="77777777" w:rsidR="00B805B9" w:rsidRPr="001D27C6" w:rsidRDefault="00B805B9">
      <w:pPr>
        <w:pStyle w:val="ListParagraph"/>
        <w:widowControl w:val="0"/>
        <w:numPr>
          <w:ilvl w:val="1"/>
          <w:numId w:val="27"/>
        </w:numPr>
        <w:suppressAutoHyphens/>
        <w:spacing w:after="120" w:line="360" w:lineRule="auto"/>
        <w:ind w:left="426" w:hanging="568"/>
        <w:jc w:val="both"/>
        <w:rPr>
          <w:rFonts w:cstheme="minorHAnsi"/>
        </w:rPr>
      </w:pPr>
      <w:r w:rsidRPr="001D27C6">
        <w:rPr>
          <w:rFonts w:cstheme="minorHAnsi"/>
        </w:rPr>
        <w:t xml:space="preserve">After the end of the Bid Submission Window, DESFA will proceed with the bid evaluation, the Preliminary Capacity </w:t>
      </w:r>
      <w:proofErr w:type="gramStart"/>
      <w:r w:rsidRPr="001D27C6">
        <w:rPr>
          <w:rFonts w:cstheme="minorHAnsi"/>
        </w:rPr>
        <w:t>Allocation</w:t>
      </w:r>
      <w:proofErr w:type="gramEnd"/>
      <w:r w:rsidRPr="001D27C6">
        <w:rPr>
          <w:rFonts w:cstheme="minorHAnsi"/>
        </w:rPr>
        <w:t xml:space="preserve"> and the Economic Viability Test (</w:t>
      </w:r>
      <w:r w:rsidR="00AB5303" w:rsidRPr="001D27C6">
        <w:rPr>
          <w:rFonts w:cstheme="minorHAnsi"/>
        </w:rPr>
        <w:t xml:space="preserve">hereinafter the </w:t>
      </w:r>
      <w:r w:rsidRPr="001D27C6">
        <w:rPr>
          <w:rFonts w:cstheme="minorHAnsi"/>
        </w:rPr>
        <w:t>EVT), entering into Gas Transportation Agreements (</w:t>
      </w:r>
      <w:r w:rsidR="007E5A0B" w:rsidRPr="001D27C6">
        <w:rPr>
          <w:rFonts w:cstheme="minorHAnsi"/>
        </w:rPr>
        <w:t>hereinafter</w:t>
      </w:r>
      <w:r w:rsidR="00AB5303" w:rsidRPr="001D27C6">
        <w:rPr>
          <w:rFonts w:cstheme="minorHAnsi"/>
        </w:rPr>
        <w:t xml:space="preserve"> the</w:t>
      </w:r>
      <w:r w:rsidR="007E5A0B" w:rsidRPr="001D27C6">
        <w:rPr>
          <w:rFonts w:cstheme="minorHAnsi"/>
        </w:rPr>
        <w:t xml:space="preserve"> </w:t>
      </w:r>
      <w:r w:rsidRPr="001D27C6">
        <w:rPr>
          <w:rFonts w:cstheme="minorHAnsi"/>
        </w:rPr>
        <w:t xml:space="preserve">GTAs) with the successful Participants, as further described </w:t>
      </w:r>
      <w:r w:rsidRPr="00572B0F">
        <w:rPr>
          <w:rFonts w:cstheme="minorHAnsi"/>
        </w:rPr>
        <w:t xml:space="preserve">in </w:t>
      </w:r>
      <w:r w:rsidR="00D41392" w:rsidRPr="00572B0F">
        <w:rPr>
          <w:rFonts w:cstheme="minorHAnsi"/>
        </w:rPr>
        <w:t xml:space="preserve">Article </w:t>
      </w:r>
      <w:r w:rsidR="007D08DF" w:rsidRPr="00572B0F">
        <w:rPr>
          <w:rFonts w:cstheme="minorHAnsi"/>
        </w:rPr>
        <w:t>7</w:t>
      </w:r>
      <w:r w:rsidR="00D41392" w:rsidRPr="00572B0F">
        <w:rPr>
          <w:rFonts w:cstheme="minorHAnsi"/>
        </w:rPr>
        <w:t xml:space="preserve"> and</w:t>
      </w:r>
      <w:r w:rsidR="00D41392" w:rsidRPr="001D27C6">
        <w:rPr>
          <w:rFonts w:cstheme="minorHAnsi"/>
        </w:rPr>
        <w:t xml:space="preserve"> </w:t>
      </w:r>
      <w:r w:rsidRPr="001D27C6">
        <w:rPr>
          <w:rFonts w:cstheme="minorHAnsi"/>
        </w:rPr>
        <w:t>the Project Proposal.</w:t>
      </w:r>
    </w:p>
    <w:p w14:paraId="528236D7" w14:textId="77777777" w:rsidR="008D224C" w:rsidRPr="001D27C6" w:rsidRDefault="008D224C" w:rsidP="007D0463">
      <w:pPr>
        <w:widowControl w:val="0"/>
        <w:suppressAutoHyphens/>
        <w:spacing w:after="120"/>
        <w:rPr>
          <w:rFonts w:cstheme="minorHAnsi"/>
          <w:u w:val="single"/>
        </w:rPr>
      </w:pPr>
      <w:bookmarkStart w:id="34" w:name="_Ref495666311"/>
      <w:bookmarkStart w:id="35" w:name="_Toc28009897"/>
      <w:bookmarkStart w:id="36" w:name="_Toc37333763"/>
    </w:p>
    <w:p w14:paraId="687EAB5F" w14:textId="77777777" w:rsidR="007D0463" w:rsidRPr="001D27C6" w:rsidRDefault="003D5005" w:rsidP="009553BC">
      <w:pPr>
        <w:pStyle w:val="Heading1"/>
        <w:spacing w:after="160"/>
      </w:pPr>
      <w:bookmarkStart w:id="37" w:name="_Toc71289527"/>
      <w:bookmarkStart w:id="38" w:name="_Toc119485256"/>
      <w:r w:rsidRPr="001D27C6">
        <w:t xml:space="preserve">Article </w:t>
      </w:r>
      <w:r w:rsidR="005314C2" w:rsidRPr="001D27C6">
        <w:t>5</w:t>
      </w:r>
      <w:r w:rsidRPr="001D27C6">
        <w:t xml:space="preserve"> </w:t>
      </w:r>
      <w:r w:rsidR="00D96BCA" w:rsidRPr="001D27C6">
        <w:t>–</w:t>
      </w:r>
      <w:r w:rsidRPr="001D27C6">
        <w:t xml:space="preserve"> </w:t>
      </w:r>
      <w:bookmarkEnd w:id="34"/>
      <w:r w:rsidR="007D0463" w:rsidRPr="001D27C6">
        <w:t>Registration</w:t>
      </w:r>
      <w:bookmarkEnd w:id="35"/>
      <w:bookmarkEnd w:id="36"/>
      <w:r w:rsidR="00D96BCA" w:rsidRPr="001D27C6">
        <w:t xml:space="preserve"> and Bid submission</w:t>
      </w:r>
      <w:bookmarkEnd w:id="37"/>
      <w:bookmarkEnd w:id="38"/>
    </w:p>
    <w:p w14:paraId="5E815079" w14:textId="48F50611" w:rsidR="0085255A" w:rsidRPr="001D27C6" w:rsidRDefault="0085255A">
      <w:pPr>
        <w:pStyle w:val="ListParagraph"/>
        <w:widowControl w:val="0"/>
        <w:numPr>
          <w:ilvl w:val="1"/>
          <w:numId w:val="20"/>
        </w:numPr>
        <w:suppressAutoHyphens/>
        <w:spacing w:before="120" w:after="120" w:line="360" w:lineRule="auto"/>
        <w:ind w:left="426" w:hanging="568"/>
        <w:jc w:val="both"/>
        <w:rPr>
          <w:rFonts w:cstheme="minorHAnsi"/>
        </w:rPr>
      </w:pPr>
      <w:r w:rsidRPr="001D27C6">
        <w:rPr>
          <w:rFonts w:cstheme="minorHAnsi"/>
        </w:rPr>
        <w:t xml:space="preserve">All Interested </w:t>
      </w:r>
      <w:r w:rsidR="001D7092" w:rsidRPr="001D27C6">
        <w:rPr>
          <w:rFonts w:cstheme="minorHAnsi"/>
        </w:rPr>
        <w:t xml:space="preserve">entities </w:t>
      </w:r>
      <w:r w:rsidRPr="001D27C6">
        <w:rPr>
          <w:rFonts w:cstheme="minorHAnsi"/>
        </w:rPr>
        <w:t xml:space="preserve">are invited to </w:t>
      </w:r>
      <w:r w:rsidR="003D7CC1" w:rsidRPr="001D27C6">
        <w:rPr>
          <w:rFonts w:cstheme="minorHAnsi"/>
        </w:rPr>
        <w:t xml:space="preserve">register </w:t>
      </w:r>
      <w:r w:rsidR="00196D07" w:rsidRPr="001D27C6">
        <w:rPr>
          <w:rFonts w:cstheme="minorHAnsi"/>
        </w:rPr>
        <w:t>during the Registration P</w:t>
      </w:r>
      <w:r w:rsidR="00AC762E">
        <w:rPr>
          <w:rFonts w:cstheme="minorHAnsi"/>
        </w:rPr>
        <w:t>eriod</w:t>
      </w:r>
      <w:r w:rsidR="00196D07" w:rsidRPr="001D27C6">
        <w:rPr>
          <w:rFonts w:cstheme="minorHAnsi"/>
        </w:rPr>
        <w:t xml:space="preserve"> </w:t>
      </w:r>
      <w:r w:rsidRPr="001D27C6">
        <w:rPr>
          <w:rFonts w:cstheme="minorHAnsi"/>
        </w:rPr>
        <w:t xml:space="preserve">and submit </w:t>
      </w:r>
      <w:r w:rsidR="00196D07" w:rsidRPr="001D27C6">
        <w:rPr>
          <w:rFonts w:cstheme="minorHAnsi"/>
        </w:rPr>
        <w:t>b</w:t>
      </w:r>
      <w:r w:rsidRPr="001D27C6">
        <w:rPr>
          <w:rFonts w:cstheme="minorHAnsi"/>
        </w:rPr>
        <w:t xml:space="preserve">inding </w:t>
      </w:r>
      <w:r w:rsidR="001E3D2B" w:rsidRPr="001D27C6">
        <w:rPr>
          <w:rFonts w:cstheme="minorHAnsi"/>
        </w:rPr>
        <w:t>bids during</w:t>
      </w:r>
      <w:r w:rsidR="00172A1D" w:rsidRPr="001D27C6">
        <w:rPr>
          <w:rFonts w:cstheme="minorHAnsi"/>
        </w:rPr>
        <w:t xml:space="preserve"> the </w:t>
      </w:r>
      <w:r w:rsidR="00EE4F46">
        <w:rPr>
          <w:rFonts w:cstheme="minorHAnsi"/>
        </w:rPr>
        <w:t>Bid Submission Window</w:t>
      </w:r>
      <w:r w:rsidRPr="001D27C6">
        <w:rPr>
          <w:rFonts w:cstheme="minorHAnsi"/>
        </w:rPr>
        <w:t xml:space="preserve"> for </w:t>
      </w:r>
      <w:r w:rsidR="007156B0" w:rsidRPr="001D27C6">
        <w:rPr>
          <w:rFonts w:cstheme="minorHAnsi"/>
        </w:rPr>
        <w:t>the</w:t>
      </w:r>
      <w:r w:rsidRPr="001D27C6">
        <w:rPr>
          <w:rFonts w:cstheme="minorHAnsi"/>
        </w:rPr>
        <w:t xml:space="preserve"> allocation of </w:t>
      </w:r>
      <w:r w:rsidR="007156B0" w:rsidRPr="001D27C6">
        <w:rPr>
          <w:rFonts w:cstheme="minorHAnsi"/>
        </w:rPr>
        <w:t xml:space="preserve">incremental </w:t>
      </w:r>
      <w:r w:rsidRPr="001D27C6">
        <w:rPr>
          <w:rFonts w:cstheme="minorHAnsi"/>
        </w:rPr>
        <w:t xml:space="preserve">capacity at </w:t>
      </w:r>
      <w:r w:rsidR="007156B0" w:rsidRPr="001D27C6">
        <w:rPr>
          <w:rFonts w:cstheme="minorHAnsi"/>
        </w:rPr>
        <w:t>DESFA</w:t>
      </w:r>
      <w:r w:rsidR="001D3088">
        <w:rPr>
          <w:rFonts w:cstheme="minorHAnsi"/>
        </w:rPr>
        <w:t>’s</w:t>
      </w:r>
      <w:r w:rsidR="007156B0" w:rsidRPr="001D27C6">
        <w:rPr>
          <w:rFonts w:cstheme="minorHAnsi"/>
        </w:rPr>
        <w:t xml:space="preserve"> side</w:t>
      </w:r>
      <w:r w:rsidRPr="001D27C6">
        <w:rPr>
          <w:rFonts w:cstheme="minorHAnsi"/>
        </w:rPr>
        <w:t xml:space="preserve"> of </w:t>
      </w:r>
      <w:proofErr w:type="spellStart"/>
      <w:r w:rsidRPr="001D27C6">
        <w:rPr>
          <w:rFonts w:cstheme="minorHAnsi"/>
        </w:rPr>
        <w:t>Nea</w:t>
      </w:r>
      <w:proofErr w:type="spellEnd"/>
      <w:r w:rsidRPr="001D27C6">
        <w:rPr>
          <w:rFonts w:cstheme="minorHAnsi"/>
        </w:rPr>
        <w:t xml:space="preserve"> </w:t>
      </w:r>
      <w:r w:rsidR="00317B81" w:rsidRPr="001D27C6">
        <w:rPr>
          <w:rFonts w:cstheme="minorHAnsi"/>
        </w:rPr>
        <w:t>Mesimvria</w:t>
      </w:r>
      <w:r w:rsidRPr="001D27C6">
        <w:rPr>
          <w:rFonts w:cstheme="minorHAnsi"/>
        </w:rPr>
        <w:t xml:space="preserve"> IP in accordance with the Project Proposal</w:t>
      </w:r>
      <w:r w:rsidR="0074556A" w:rsidRPr="001D27C6">
        <w:rPr>
          <w:rFonts w:cstheme="minorHAnsi"/>
        </w:rPr>
        <w:t xml:space="preserve"> and present notice</w:t>
      </w:r>
      <w:r w:rsidRPr="001D27C6">
        <w:rPr>
          <w:rFonts w:cstheme="minorHAnsi"/>
        </w:rPr>
        <w:t xml:space="preserve">. </w:t>
      </w:r>
      <w:r w:rsidR="00AB2FB0" w:rsidRPr="001D27C6">
        <w:rPr>
          <w:rFonts w:cstheme="minorHAnsi"/>
        </w:rPr>
        <w:t xml:space="preserve"> </w:t>
      </w:r>
    </w:p>
    <w:p w14:paraId="21F9208E" w14:textId="1FB49E18" w:rsidR="007D0463" w:rsidRPr="001D27C6" w:rsidRDefault="00616363">
      <w:pPr>
        <w:pStyle w:val="ListParagraph"/>
        <w:widowControl w:val="0"/>
        <w:numPr>
          <w:ilvl w:val="1"/>
          <w:numId w:val="20"/>
        </w:numPr>
        <w:suppressAutoHyphens/>
        <w:spacing w:before="120" w:after="120" w:line="360" w:lineRule="auto"/>
        <w:ind w:left="426" w:hanging="568"/>
        <w:jc w:val="both"/>
        <w:rPr>
          <w:rFonts w:cstheme="minorHAnsi"/>
        </w:rPr>
      </w:pPr>
      <w:r w:rsidRPr="001D27C6">
        <w:rPr>
          <w:rFonts w:cstheme="minorHAnsi"/>
        </w:rPr>
        <w:t xml:space="preserve">Only </w:t>
      </w:r>
      <w:r w:rsidR="00CC35D7" w:rsidRPr="001D27C6">
        <w:rPr>
          <w:rFonts w:cstheme="minorHAnsi"/>
        </w:rPr>
        <w:t>entities</w:t>
      </w:r>
      <w:r w:rsidRPr="001D27C6">
        <w:rPr>
          <w:rFonts w:cstheme="minorHAnsi"/>
        </w:rPr>
        <w:t xml:space="preserve"> having a signed and valid </w:t>
      </w:r>
      <w:r w:rsidR="00AA5628" w:rsidRPr="001D27C6">
        <w:rPr>
          <w:rFonts w:cstheme="minorHAnsi"/>
        </w:rPr>
        <w:t>the Standard</w:t>
      </w:r>
      <w:r w:rsidRPr="001D27C6">
        <w:rPr>
          <w:rFonts w:cstheme="minorHAnsi"/>
        </w:rPr>
        <w:t xml:space="preserve"> </w:t>
      </w:r>
      <w:r w:rsidR="00710CFB" w:rsidRPr="001D27C6">
        <w:rPr>
          <w:rFonts w:cstheme="minorHAnsi"/>
        </w:rPr>
        <w:t xml:space="preserve">Framework </w:t>
      </w:r>
      <w:r w:rsidRPr="001D27C6">
        <w:rPr>
          <w:rFonts w:cstheme="minorHAnsi"/>
        </w:rPr>
        <w:t>Transmission Agreement with DESFA as per the applicable legislation</w:t>
      </w:r>
      <w:r w:rsidR="00F73F1C" w:rsidRPr="001D27C6">
        <w:rPr>
          <w:rFonts w:cstheme="minorHAnsi"/>
        </w:rPr>
        <w:t xml:space="preserve"> (hereinafter the </w:t>
      </w:r>
      <w:r w:rsidR="003311AD" w:rsidRPr="001D27C6">
        <w:rPr>
          <w:rFonts w:cstheme="minorHAnsi"/>
        </w:rPr>
        <w:t xml:space="preserve">Transmission </w:t>
      </w:r>
      <w:r w:rsidR="00F73F1C" w:rsidRPr="001D27C6">
        <w:rPr>
          <w:rFonts w:cstheme="minorHAnsi"/>
        </w:rPr>
        <w:t>Users)</w:t>
      </w:r>
      <w:r w:rsidRPr="001D27C6">
        <w:rPr>
          <w:rFonts w:cstheme="minorHAnsi"/>
        </w:rPr>
        <w:t xml:space="preserve">, can </w:t>
      </w:r>
      <w:r w:rsidR="00CC35D7" w:rsidRPr="001D27C6">
        <w:rPr>
          <w:rFonts w:cstheme="minorHAnsi"/>
        </w:rPr>
        <w:t xml:space="preserve">be registered and </w:t>
      </w:r>
      <w:r w:rsidRPr="001D27C6">
        <w:rPr>
          <w:rFonts w:cstheme="minorHAnsi"/>
        </w:rPr>
        <w:t>submit binding bids</w:t>
      </w:r>
      <w:r w:rsidR="0035533A" w:rsidRPr="001D27C6">
        <w:rPr>
          <w:rFonts w:cstheme="minorHAnsi"/>
        </w:rPr>
        <w:t xml:space="preserve"> to DESFA</w:t>
      </w:r>
      <w:r w:rsidRPr="001D27C6">
        <w:rPr>
          <w:rFonts w:cstheme="minorHAnsi"/>
        </w:rPr>
        <w:t xml:space="preserve"> in </w:t>
      </w:r>
      <w:r w:rsidR="00AA5628" w:rsidRPr="001D27C6">
        <w:rPr>
          <w:rFonts w:cstheme="minorHAnsi"/>
        </w:rPr>
        <w:t>this</w:t>
      </w:r>
      <w:r w:rsidRPr="001D27C6">
        <w:rPr>
          <w:rFonts w:cstheme="minorHAnsi"/>
        </w:rPr>
        <w:t xml:space="preserve"> Binding Bi</w:t>
      </w:r>
      <w:r w:rsidR="007004FE">
        <w:rPr>
          <w:rFonts w:cstheme="minorHAnsi"/>
        </w:rPr>
        <w:t>d</w:t>
      </w:r>
      <w:r w:rsidRPr="001D27C6">
        <w:rPr>
          <w:rFonts w:cstheme="minorHAnsi"/>
        </w:rPr>
        <w:t xml:space="preserve">ding Phase. In this respect, the </w:t>
      </w:r>
      <w:r w:rsidR="000C226B">
        <w:rPr>
          <w:rFonts w:cstheme="minorHAnsi"/>
        </w:rPr>
        <w:t>Applicant</w:t>
      </w:r>
      <w:r w:rsidR="000C226B" w:rsidRPr="001D27C6">
        <w:rPr>
          <w:rFonts w:cstheme="minorHAnsi"/>
        </w:rPr>
        <w:t xml:space="preserve"> </w:t>
      </w:r>
      <w:r w:rsidRPr="001D27C6">
        <w:rPr>
          <w:rFonts w:cstheme="minorHAnsi"/>
        </w:rPr>
        <w:t>should have to</w:t>
      </w:r>
      <w:r w:rsidR="00AE5015" w:rsidRPr="001D27C6">
        <w:rPr>
          <w:rFonts w:cstheme="minorHAnsi"/>
        </w:rPr>
        <w:t xml:space="preserve"> be</w:t>
      </w:r>
      <w:r w:rsidRPr="001D27C6">
        <w:rPr>
          <w:rFonts w:cstheme="minorHAnsi"/>
        </w:rPr>
        <w:t xml:space="preserve"> register</w:t>
      </w:r>
      <w:r w:rsidR="007004FE">
        <w:rPr>
          <w:rFonts w:cstheme="minorHAnsi"/>
        </w:rPr>
        <w:t>ed</w:t>
      </w:r>
      <w:r w:rsidRPr="001D27C6">
        <w:rPr>
          <w:rFonts w:cstheme="minorHAnsi"/>
        </w:rPr>
        <w:t xml:space="preserve"> to RAE’s User Registry in accordance with article 72 of Law 4011/2011 and the relevant </w:t>
      </w:r>
      <w:r w:rsidR="00855E52" w:rsidRPr="001D27C6">
        <w:rPr>
          <w:rFonts w:cstheme="minorHAnsi"/>
        </w:rPr>
        <w:t>r</w:t>
      </w:r>
      <w:r w:rsidRPr="001D27C6">
        <w:rPr>
          <w:rFonts w:cstheme="minorHAnsi"/>
        </w:rPr>
        <w:t>egulation (</w:t>
      </w:r>
      <w:r w:rsidR="007708ED" w:rsidRPr="00970B8B">
        <w:rPr>
          <w:rFonts w:cstheme="minorHAnsi"/>
        </w:rPr>
        <w:t xml:space="preserve">Government Gazette </w:t>
      </w:r>
      <w:r w:rsidRPr="001D27C6">
        <w:rPr>
          <w:rFonts w:cstheme="minorHAnsi"/>
        </w:rPr>
        <w:t xml:space="preserve">B’ 451/16.04.2010) and </w:t>
      </w:r>
      <w:r w:rsidR="00F11113" w:rsidRPr="001D27C6">
        <w:rPr>
          <w:rFonts w:cstheme="minorHAnsi"/>
        </w:rPr>
        <w:t xml:space="preserve">should have </w:t>
      </w:r>
      <w:r w:rsidR="0088182D" w:rsidRPr="001D27C6">
        <w:rPr>
          <w:rFonts w:cstheme="minorHAnsi"/>
        </w:rPr>
        <w:t xml:space="preserve">signed </w:t>
      </w:r>
      <w:r w:rsidR="00153F95" w:rsidRPr="001D27C6">
        <w:rPr>
          <w:rFonts w:cstheme="minorHAnsi"/>
        </w:rPr>
        <w:t>a</w:t>
      </w:r>
      <w:r w:rsidR="00543893" w:rsidRPr="001D27C6">
        <w:rPr>
          <w:rFonts w:cstheme="minorHAnsi"/>
        </w:rPr>
        <w:t xml:space="preserve"> </w:t>
      </w:r>
      <w:r w:rsidR="00855E52" w:rsidRPr="001D27C6">
        <w:rPr>
          <w:rFonts w:cstheme="minorHAnsi"/>
        </w:rPr>
        <w:t>Standard</w:t>
      </w:r>
      <w:r w:rsidRPr="001D27C6">
        <w:rPr>
          <w:rFonts w:cstheme="minorHAnsi"/>
        </w:rPr>
        <w:t xml:space="preserve"> </w:t>
      </w:r>
      <w:r w:rsidR="00710CFB" w:rsidRPr="001D27C6">
        <w:rPr>
          <w:rFonts w:cstheme="minorHAnsi"/>
        </w:rPr>
        <w:t xml:space="preserve">Framework </w:t>
      </w:r>
      <w:r w:rsidRPr="001D27C6">
        <w:rPr>
          <w:rFonts w:cstheme="minorHAnsi"/>
        </w:rPr>
        <w:t>Transmission Agreement with DESFA in accordance with article 6A of the N</w:t>
      </w:r>
      <w:r w:rsidR="00855E52" w:rsidRPr="001D27C6">
        <w:rPr>
          <w:rFonts w:cstheme="minorHAnsi"/>
        </w:rPr>
        <w:t xml:space="preserve">ational </w:t>
      </w:r>
      <w:r w:rsidRPr="001D27C6">
        <w:rPr>
          <w:rFonts w:cstheme="minorHAnsi"/>
        </w:rPr>
        <w:t>N</w:t>
      </w:r>
      <w:r w:rsidR="00855E52" w:rsidRPr="001D27C6">
        <w:rPr>
          <w:rFonts w:cstheme="minorHAnsi"/>
        </w:rPr>
        <w:t xml:space="preserve">atural </w:t>
      </w:r>
      <w:r w:rsidRPr="001D27C6">
        <w:rPr>
          <w:rFonts w:cstheme="minorHAnsi"/>
        </w:rPr>
        <w:t>G</w:t>
      </w:r>
      <w:r w:rsidR="00855E52" w:rsidRPr="001D27C6">
        <w:rPr>
          <w:rFonts w:cstheme="minorHAnsi"/>
        </w:rPr>
        <w:t xml:space="preserve">as </w:t>
      </w:r>
      <w:r w:rsidRPr="001D27C6">
        <w:rPr>
          <w:rFonts w:cstheme="minorHAnsi"/>
        </w:rPr>
        <w:t>S</w:t>
      </w:r>
      <w:r w:rsidR="00855E52" w:rsidRPr="001D27C6">
        <w:rPr>
          <w:rFonts w:cstheme="minorHAnsi"/>
        </w:rPr>
        <w:t>ystem</w:t>
      </w:r>
      <w:r w:rsidRPr="001D27C6">
        <w:rPr>
          <w:rFonts w:cstheme="minorHAnsi"/>
        </w:rPr>
        <w:t xml:space="preserve"> Network Code, as in force. </w:t>
      </w:r>
    </w:p>
    <w:p w14:paraId="6D629EF5" w14:textId="77777777" w:rsidR="00281B93" w:rsidRPr="001D27C6" w:rsidRDefault="00281B93" w:rsidP="00837724">
      <w:pPr>
        <w:pStyle w:val="ListParagraph"/>
        <w:widowControl w:val="0"/>
        <w:suppressAutoHyphens/>
        <w:spacing w:before="120" w:after="120" w:line="360" w:lineRule="auto"/>
        <w:ind w:left="426"/>
        <w:jc w:val="both"/>
        <w:rPr>
          <w:rFonts w:cstheme="minorHAnsi"/>
        </w:rPr>
      </w:pPr>
    </w:p>
    <w:p w14:paraId="7B78FFC2" w14:textId="77777777" w:rsidR="00026F0C" w:rsidRPr="001D27C6" w:rsidRDefault="00EE4F46" w:rsidP="00837724">
      <w:pPr>
        <w:pStyle w:val="ListParagraph"/>
        <w:widowControl w:val="0"/>
        <w:suppressAutoHyphens/>
        <w:spacing w:before="120" w:after="120" w:line="360" w:lineRule="auto"/>
        <w:ind w:left="426"/>
        <w:jc w:val="both"/>
        <w:rPr>
          <w:rFonts w:cstheme="minorHAnsi"/>
          <w:b/>
        </w:rPr>
      </w:pPr>
      <w:r>
        <w:rPr>
          <w:rFonts w:cstheme="minorHAnsi"/>
          <w:b/>
        </w:rPr>
        <w:t>Registration</w:t>
      </w:r>
      <w:r w:rsidR="006D68B7" w:rsidRPr="001D27C6">
        <w:rPr>
          <w:rFonts w:cstheme="minorHAnsi"/>
          <w:b/>
        </w:rPr>
        <w:t xml:space="preserve"> </w:t>
      </w:r>
      <w:r>
        <w:rPr>
          <w:rFonts w:cstheme="minorHAnsi"/>
          <w:b/>
        </w:rPr>
        <w:t>Period</w:t>
      </w:r>
    </w:p>
    <w:p w14:paraId="6BF89EE6" w14:textId="77777777" w:rsidR="00F669A5" w:rsidRPr="001D27C6" w:rsidRDefault="001E3D2B">
      <w:pPr>
        <w:pStyle w:val="ListParagraph"/>
        <w:widowControl w:val="0"/>
        <w:numPr>
          <w:ilvl w:val="1"/>
          <w:numId w:val="20"/>
        </w:numPr>
        <w:suppressAutoHyphens/>
        <w:spacing w:before="120" w:after="120" w:line="360" w:lineRule="auto"/>
        <w:ind w:left="426"/>
        <w:jc w:val="both"/>
        <w:rPr>
          <w:rFonts w:cstheme="minorHAnsi"/>
        </w:rPr>
      </w:pPr>
      <w:r w:rsidRPr="001D27C6">
        <w:rPr>
          <w:rFonts w:cstheme="minorHAnsi"/>
        </w:rPr>
        <w:t xml:space="preserve">During the Registration </w:t>
      </w:r>
      <w:r w:rsidR="00EE4F46">
        <w:rPr>
          <w:rFonts w:cstheme="minorHAnsi"/>
        </w:rPr>
        <w:t>Period</w:t>
      </w:r>
      <w:r w:rsidRPr="001D27C6">
        <w:rPr>
          <w:rFonts w:cstheme="minorHAnsi"/>
        </w:rPr>
        <w:t xml:space="preserve">, </w:t>
      </w:r>
      <w:r w:rsidR="00D715A8" w:rsidRPr="001D27C6">
        <w:rPr>
          <w:rFonts w:cstheme="minorHAnsi"/>
        </w:rPr>
        <w:t>Applicants that are Transmission Users will have to submit to DESFA</w:t>
      </w:r>
      <w:r w:rsidR="00A77EE4" w:rsidRPr="001D27C6">
        <w:rPr>
          <w:rFonts w:cstheme="minorHAnsi"/>
        </w:rPr>
        <w:t>,</w:t>
      </w:r>
      <w:r w:rsidR="00D715A8" w:rsidRPr="001D27C6">
        <w:rPr>
          <w:rFonts w:cstheme="minorHAnsi"/>
        </w:rPr>
        <w:t xml:space="preserve"> </w:t>
      </w:r>
      <w:r w:rsidR="00A77EE4" w:rsidRPr="001D27C6">
        <w:rPr>
          <w:rFonts w:cstheme="minorHAnsi"/>
        </w:rPr>
        <w:t xml:space="preserve">up and </w:t>
      </w:r>
      <w:r w:rsidR="00D715A8" w:rsidRPr="001D27C6">
        <w:rPr>
          <w:rFonts w:cstheme="minorHAnsi"/>
        </w:rPr>
        <w:t>until the deadline set in Article 5.4</w:t>
      </w:r>
      <w:r w:rsidR="00A77EE4" w:rsidRPr="001D27C6">
        <w:rPr>
          <w:rFonts w:cstheme="minorHAnsi"/>
        </w:rPr>
        <w:t>,</w:t>
      </w:r>
      <w:r w:rsidR="00D715A8" w:rsidRPr="001D27C6">
        <w:rPr>
          <w:rFonts w:cstheme="minorHAnsi"/>
        </w:rPr>
        <w:t xml:space="preserve"> a filled-in Registration Form according to Annex I</w:t>
      </w:r>
      <w:r w:rsidR="00C00BCE" w:rsidRPr="001D27C6">
        <w:rPr>
          <w:rFonts w:cstheme="minorHAnsi"/>
        </w:rPr>
        <w:t>. App</w:t>
      </w:r>
      <w:r w:rsidR="00AC12B5" w:rsidRPr="001D27C6">
        <w:rPr>
          <w:rFonts w:cstheme="minorHAnsi"/>
        </w:rPr>
        <w:t>licants</w:t>
      </w:r>
      <w:r w:rsidR="00D715A8" w:rsidRPr="001D27C6">
        <w:rPr>
          <w:rFonts w:cstheme="minorHAnsi"/>
        </w:rPr>
        <w:t xml:space="preserve"> </w:t>
      </w:r>
      <w:r w:rsidR="00AC12B5" w:rsidRPr="001D27C6">
        <w:rPr>
          <w:rFonts w:cstheme="minorHAnsi"/>
        </w:rPr>
        <w:t xml:space="preserve">should be </w:t>
      </w:r>
      <w:r w:rsidR="007D0463" w:rsidRPr="001D27C6">
        <w:rPr>
          <w:rFonts w:cstheme="minorHAnsi"/>
        </w:rPr>
        <w:t xml:space="preserve">potentially enabled to operate on a jointly identified capacity </w:t>
      </w:r>
      <w:r w:rsidR="00A70729" w:rsidRPr="001D27C6">
        <w:rPr>
          <w:rFonts w:cstheme="minorHAnsi"/>
        </w:rPr>
        <w:t xml:space="preserve">booking </w:t>
      </w:r>
      <w:r w:rsidR="007D0463" w:rsidRPr="001D27C6">
        <w:rPr>
          <w:rFonts w:cstheme="minorHAnsi"/>
        </w:rPr>
        <w:t xml:space="preserve">platform if </w:t>
      </w:r>
      <w:proofErr w:type="gramStart"/>
      <w:r w:rsidR="007D0463" w:rsidRPr="001D27C6">
        <w:rPr>
          <w:rFonts w:cstheme="minorHAnsi"/>
        </w:rPr>
        <w:t>so</w:t>
      </w:r>
      <w:proofErr w:type="gramEnd"/>
      <w:r w:rsidR="007D0463" w:rsidRPr="001D27C6">
        <w:rPr>
          <w:rFonts w:cstheme="minorHAnsi"/>
        </w:rPr>
        <w:t xml:space="preserve"> decided by the TSOs </w:t>
      </w:r>
      <w:r w:rsidR="005F5AC7" w:rsidRPr="001D27C6">
        <w:rPr>
          <w:rFonts w:cstheme="minorHAnsi"/>
        </w:rPr>
        <w:t>concerned</w:t>
      </w:r>
      <w:r w:rsidR="007D0463" w:rsidRPr="001D27C6">
        <w:rPr>
          <w:rFonts w:cstheme="minorHAnsi"/>
        </w:rPr>
        <w:t xml:space="preserve">, as indicated in the </w:t>
      </w:r>
      <w:r w:rsidR="008E762C" w:rsidRPr="001D27C6">
        <w:rPr>
          <w:rFonts w:cstheme="minorHAnsi"/>
        </w:rPr>
        <w:t xml:space="preserve">Project Proposal and the </w:t>
      </w:r>
      <w:r w:rsidR="007D0463" w:rsidRPr="001D27C6">
        <w:rPr>
          <w:rFonts w:cstheme="minorHAnsi"/>
        </w:rPr>
        <w:t>Joint Notice.</w:t>
      </w:r>
      <w:r w:rsidR="00026F0C" w:rsidRPr="001D27C6">
        <w:rPr>
          <w:rFonts w:cstheme="minorHAnsi"/>
        </w:rPr>
        <w:t xml:space="preserve"> Registration Forms submitted by </w:t>
      </w:r>
      <w:r w:rsidR="0074556A" w:rsidRPr="001D27C6">
        <w:rPr>
          <w:rFonts w:cstheme="minorHAnsi"/>
        </w:rPr>
        <w:t>Applicants</w:t>
      </w:r>
      <w:r w:rsidR="00026F0C" w:rsidRPr="001D27C6">
        <w:rPr>
          <w:rFonts w:cstheme="minorHAnsi"/>
        </w:rPr>
        <w:t xml:space="preserve"> that </w:t>
      </w:r>
      <w:r w:rsidR="007223A1" w:rsidRPr="001D27C6">
        <w:rPr>
          <w:rFonts w:cstheme="minorHAnsi"/>
        </w:rPr>
        <w:t>do not fulfill the criteria of Article 5.2</w:t>
      </w:r>
      <w:r w:rsidR="00043A70" w:rsidRPr="001D27C6">
        <w:rPr>
          <w:rFonts w:cstheme="minorHAnsi"/>
        </w:rPr>
        <w:t xml:space="preserve"> </w:t>
      </w:r>
      <w:r w:rsidR="00026F0C" w:rsidRPr="001D27C6">
        <w:rPr>
          <w:rFonts w:cstheme="minorHAnsi"/>
        </w:rPr>
        <w:t>shall not be accepted.</w:t>
      </w:r>
      <w:r w:rsidR="009518FF" w:rsidRPr="001D27C6">
        <w:rPr>
          <w:rFonts w:cstheme="minorHAnsi"/>
        </w:rPr>
        <w:t xml:space="preserve"> </w:t>
      </w:r>
    </w:p>
    <w:p w14:paraId="3BF4CD46" w14:textId="77777777" w:rsidR="009518FF" w:rsidRPr="001D27C6" w:rsidRDefault="009518FF" w:rsidP="00837724">
      <w:pPr>
        <w:pStyle w:val="ListParagraph"/>
        <w:widowControl w:val="0"/>
        <w:suppressAutoHyphens/>
        <w:spacing w:before="120" w:after="120" w:line="360" w:lineRule="auto"/>
        <w:ind w:left="426"/>
        <w:jc w:val="both"/>
        <w:rPr>
          <w:rFonts w:cstheme="minorHAnsi"/>
        </w:rPr>
      </w:pPr>
      <w:r w:rsidRPr="001D27C6">
        <w:rPr>
          <w:rFonts w:cstheme="minorHAnsi"/>
        </w:rPr>
        <w:t xml:space="preserve">All documents to be submitted to DESFA under this </w:t>
      </w:r>
      <w:r w:rsidR="00F669A5" w:rsidRPr="001D27C6">
        <w:rPr>
          <w:rFonts w:cstheme="minorHAnsi"/>
        </w:rPr>
        <w:t>Registration</w:t>
      </w:r>
      <w:r w:rsidRPr="001D27C6">
        <w:rPr>
          <w:rFonts w:cstheme="minorHAnsi"/>
        </w:rPr>
        <w:t xml:space="preserve"> </w:t>
      </w:r>
      <w:r w:rsidR="00EE4F46">
        <w:rPr>
          <w:rFonts w:cstheme="minorHAnsi"/>
        </w:rPr>
        <w:t>Period</w:t>
      </w:r>
      <w:r w:rsidR="00EE4F46" w:rsidRPr="001D27C6">
        <w:rPr>
          <w:rFonts w:cstheme="minorHAnsi"/>
        </w:rPr>
        <w:t xml:space="preserve"> </w:t>
      </w:r>
      <w:r w:rsidRPr="001D27C6">
        <w:rPr>
          <w:rFonts w:cstheme="minorHAnsi"/>
        </w:rPr>
        <w:t xml:space="preserve">should be submitted </w:t>
      </w:r>
      <w:r w:rsidR="00DF26F4" w:rsidRPr="001D27C6">
        <w:rPr>
          <w:rFonts w:cstheme="minorHAnsi"/>
        </w:rPr>
        <w:t xml:space="preserve">in DESFA’s Protocol </w:t>
      </w:r>
      <w:r w:rsidR="008A4BFA" w:rsidRPr="001D27C6">
        <w:rPr>
          <w:rFonts w:cstheme="minorHAnsi"/>
        </w:rPr>
        <w:t>service</w:t>
      </w:r>
      <w:r w:rsidR="00491E43" w:rsidRPr="001D27C6">
        <w:rPr>
          <w:rFonts w:cstheme="minorHAnsi"/>
        </w:rPr>
        <w:t xml:space="preserve"> </w:t>
      </w:r>
      <w:r w:rsidR="00642C2D">
        <w:rPr>
          <w:rFonts w:cstheme="minorHAnsi"/>
        </w:rPr>
        <w:t xml:space="preserve">(Secretariat Unit) </w:t>
      </w:r>
      <w:r w:rsidR="00DF26F4" w:rsidRPr="001D27C6">
        <w:rPr>
          <w:rFonts w:cstheme="minorHAnsi"/>
        </w:rPr>
        <w:t xml:space="preserve">in the following address or </w:t>
      </w:r>
      <w:r w:rsidRPr="001D27C6">
        <w:rPr>
          <w:rFonts w:cstheme="minorHAnsi"/>
        </w:rPr>
        <w:t xml:space="preserve">via courier or registered mail to the following address: </w:t>
      </w:r>
    </w:p>
    <w:p w14:paraId="3973C9AD" w14:textId="77777777" w:rsidR="009518FF" w:rsidRPr="001D27C6" w:rsidRDefault="009518FF" w:rsidP="00193794">
      <w:pPr>
        <w:pStyle w:val="ListParagraph"/>
        <w:widowControl w:val="0"/>
        <w:suppressAutoHyphens/>
        <w:spacing w:before="120" w:after="120" w:line="276" w:lineRule="auto"/>
        <w:jc w:val="both"/>
        <w:rPr>
          <w:rFonts w:cstheme="minorHAnsi"/>
          <w:lang w:val="fr-FR"/>
        </w:rPr>
      </w:pPr>
      <w:r w:rsidRPr="001D27C6">
        <w:rPr>
          <w:rFonts w:cstheme="minorHAnsi"/>
          <w:lang w:val="fr-FR"/>
        </w:rPr>
        <w:lastRenderedPageBreak/>
        <w:t xml:space="preserve">DESFA S.A. </w:t>
      </w:r>
    </w:p>
    <w:p w14:paraId="2A0CC41F" w14:textId="77777777" w:rsidR="009518FF" w:rsidRPr="001D27C6" w:rsidRDefault="009518FF" w:rsidP="00193794">
      <w:pPr>
        <w:pStyle w:val="ListParagraph"/>
        <w:widowControl w:val="0"/>
        <w:suppressAutoHyphens/>
        <w:spacing w:before="120" w:after="120" w:line="276" w:lineRule="auto"/>
        <w:jc w:val="both"/>
        <w:rPr>
          <w:rFonts w:cstheme="minorHAnsi"/>
          <w:lang w:val="fr-FR"/>
        </w:rPr>
      </w:pPr>
      <w:r w:rsidRPr="001D27C6">
        <w:rPr>
          <w:rFonts w:cstheme="minorHAnsi"/>
          <w:lang w:val="fr-FR"/>
        </w:rPr>
        <w:t xml:space="preserve">357-359 </w:t>
      </w:r>
      <w:proofErr w:type="spellStart"/>
      <w:r w:rsidRPr="001D27C6">
        <w:rPr>
          <w:rFonts w:cstheme="minorHAnsi"/>
          <w:lang w:val="fr-FR"/>
        </w:rPr>
        <w:t>Messogion</w:t>
      </w:r>
      <w:proofErr w:type="spellEnd"/>
      <w:r w:rsidRPr="001D27C6">
        <w:rPr>
          <w:rFonts w:cstheme="minorHAnsi"/>
          <w:lang w:val="fr-FR"/>
        </w:rPr>
        <w:t xml:space="preserve"> Ave.</w:t>
      </w:r>
    </w:p>
    <w:p w14:paraId="46CC9DAC" w14:textId="77777777" w:rsidR="009518FF" w:rsidRPr="001D27C6" w:rsidRDefault="009518FF" w:rsidP="00193794">
      <w:pPr>
        <w:pStyle w:val="ListParagraph"/>
        <w:widowControl w:val="0"/>
        <w:suppressAutoHyphens/>
        <w:spacing w:before="120" w:after="120" w:line="276" w:lineRule="auto"/>
        <w:jc w:val="both"/>
        <w:rPr>
          <w:rFonts w:cstheme="minorHAnsi"/>
          <w:lang w:val="fr-FR"/>
        </w:rPr>
      </w:pPr>
      <w:r w:rsidRPr="001D27C6">
        <w:rPr>
          <w:rFonts w:cstheme="minorHAnsi"/>
          <w:lang w:val="fr-FR"/>
        </w:rPr>
        <w:t xml:space="preserve">GR - 152 31 HALANDRI, GREECE </w:t>
      </w:r>
    </w:p>
    <w:p w14:paraId="32C9A31B" w14:textId="77777777" w:rsidR="009518FF" w:rsidRPr="001D27C6" w:rsidRDefault="009518FF" w:rsidP="00193794">
      <w:pPr>
        <w:pStyle w:val="ListParagraph"/>
        <w:widowControl w:val="0"/>
        <w:suppressAutoHyphens/>
        <w:spacing w:before="120" w:after="120" w:line="276" w:lineRule="auto"/>
        <w:jc w:val="both"/>
        <w:rPr>
          <w:rFonts w:cstheme="minorHAnsi"/>
          <w:lang w:val="fr-FR"/>
        </w:rPr>
      </w:pPr>
      <w:r w:rsidRPr="001D27C6">
        <w:rPr>
          <w:rFonts w:cstheme="minorHAnsi"/>
          <w:lang w:val="fr-FR"/>
        </w:rPr>
        <w:t xml:space="preserve">General Document Centre, </w:t>
      </w:r>
      <w:proofErr w:type="gramStart"/>
      <w:r w:rsidRPr="001D27C6">
        <w:rPr>
          <w:rFonts w:cstheme="minorHAnsi"/>
          <w:lang w:val="fr-FR"/>
        </w:rPr>
        <w:t>T:</w:t>
      </w:r>
      <w:proofErr w:type="gramEnd"/>
      <w:r w:rsidRPr="001D27C6">
        <w:rPr>
          <w:rFonts w:cstheme="minorHAnsi"/>
          <w:lang w:val="fr-FR"/>
        </w:rPr>
        <w:t xml:space="preserve"> +30 213 088 4278, +30 213 088 4286</w:t>
      </w:r>
    </w:p>
    <w:p w14:paraId="7C83118E" w14:textId="77777777" w:rsidR="007D0463" w:rsidRPr="001D27C6" w:rsidRDefault="009518FF" w:rsidP="00193794">
      <w:pPr>
        <w:pStyle w:val="ListParagraph"/>
        <w:widowControl w:val="0"/>
        <w:suppressAutoHyphens/>
        <w:spacing w:before="120" w:after="120" w:line="276" w:lineRule="auto"/>
        <w:jc w:val="both"/>
        <w:rPr>
          <w:rFonts w:cstheme="minorHAnsi"/>
        </w:rPr>
      </w:pPr>
      <w:r w:rsidRPr="001D27C6">
        <w:rPr>
          <w:rFonts w:cstheme="minorHAnsi"/>
        </w:rPr>
        <w:t xml:space="preserve">to the attention of Commercial </w:t>
      </w:r>
      <w:r w:rsidR="00CC0E18" w:rsidRPr="001D27C6">
        <w:rPr>
          <w:rFonts w:cstheme="minorHAnsi"/>
        </w:rPr>
        <w:t xml:space="preserve">Services </w:t>
      </w:r>
      <w:r w:rsidRPr="001D27C6">
        <w:rPr>
          <w:rFonts w:cstheme="minorHAnsi"/>
        </w:rPr>
        <w:t>Division</w:t>
      </w:r>
    </w:p>
    <w:p w14:paraId="4B45711E" w14:textId="77777777" w:rsidR="00A87FAB" w:rsidRPr="001D27C6" w:rsidRDefault="00A87FAB" w:rsidP="00A87FAB">
      <w:pPr>
        <w:pStyle w:val="ListParagraph"/>
        <w:widowControl w:val="0"/>
        <w:suppressAutoHyphens/>
        <w:spacing w:before="120" w:after="120" w:line="276" w:lineRule="auto"/>
        <w:ind w:left="426"/>
        <w:jc w:val="both"/>
        <w:rPr>
          <w:rFonts w:cstheme="minorHAnsi"/>
        </w:rPr>
      </w:pPr>
    </w:p>
    <w:p w14:paraId="4211618B" w14:textId="0DAC15C8" w:rsidR="0007786D" w:rsidRPr="001D27C6" w:rsidRDefault="0007786D">
      <w:pPr>
        <w:pStyle w:val="ListParagraph"/>
        <w:widowControl w:val="0"/>
        <w:numPr>
          <w:ilvl w:val="1"/>
          <w:numId w:val="20"/>
        </w:numPr>
        <w:suppressAutoHyphens/>
        <w:spacing w:before="120" w:after="120" w:line="360" w:lineRule="auto"/>
        <w:ind w:left="426" w:hanging="568"/>
        <w:jc w:val="both"/>
        <w:rPr>
          <w:rFonts w:cstheme="minorHAnsi"/>
        </w:rPr>
      </w:pPr>
      <w:r w:rsidRPr="001D27C6">
        <w:rPr>
          <w:rFonts w:cstheme="minorHAnsi"/>
        </w:rPr>
        <w:t>The Registration Deadline is set to be</w:t>
      </w:r>
      <w:r w:rsidR="00014053" w:rsidRPr="001D27C6">
        <w:rPr>
          <w:rFonts w:cstheme="minorHAnsi"/>
        </w:rPr>
        <w:t xml:space="preserve"> </w:t>
      </w:r>
      <w:r w:rsidR="009168CB" w:rsidRPr="001D27C6">
        <w:rPr>
          <w:rFonts w:cstheme="minorHAnsi"/>
        </w:rPr>
        <w:t>13</w:t>
      </w:r>
      <w:r w:rsidR="001B07FE" w:rsidRPr="001D27C6">
        <w:rPr>
          <w:rFonts w:cstheme="minorHAnsi"/>
        </w:rPr>
        <w:t>:</w:t>
      </w:r>
      <w:r w:rsidR="009168CB" w:rsidRPr="001D27C6">
        <w:rPr>
          <w:rFonts w:cstheme="minorHAnsi"/>
        </w:rPr>
        <w:t>3</w:t>
      </w:r>
      <w:r w:rsidR="001B07FE" w:rsidRPr="001D27C6">
        <w:rPr>
          <w:rFonts w:cstheme="minorHAnsi"/>
        </w:rPr>
        <w:t>0</w:t>
      </w:r>
      <w:r w:rsidRPr="001D27C6">
        <w:rPr>
          <w:rFonts w:cstheme="minorHAnsi"/>
        </w:rPr>
        <w:t>, local time (CET +</w:t>
      </w:r>
      <w:r w:rsidR="00E447C9">
        <w:rPr>
          <w:rFonts w:cstheme="minorHAnsi"/>
        </w:rPr>
        <w:t xml:space="preserve"> </w:t>
      </w:r>
      <w:r w:rsidRPr="001D27C6">
        <w:rPr>
          <w:rFonts w:cstheme="minorHAnsi"/>
        </w:rPr>
        <w:t xml:space="preserve">1), on </w:t>
      </w:r>
      <w:r w:rsidR="00D6587E">
        <w:rPr>
          <w:rFonts w:cstheme="minorHAnsi"/>
        </w:rPr>
        <w:t>1</w:t>
      </w:r>
      <w:r w:rsidRPr="001D27C6">
        <w:rPr>
          <w:rFonts w:cstheme="minorHAnsi"/>
        </w:rPr>
        <w:t>3</w:t>
      </w:r>
      <w:r w:rsidR="00DA6455">
        <w:rPr>
          <w:rFonts w:cstheme="minorHAnsi"/>
          <w:vertAlign w:val="superscript"/>
        </w:rPr>
        <w:t>th</w:t>
      </w:r>
      <w:r w:rsidR="008E762C" w:rsidRPr="001D27C6">
        <w:rPr>
          <w:rFonts w:cstheme="minorHAnsi"/>
        </w:rPr>
        <w:t xml:space="preserve"> of </w:t>
      </w:r>
      <w:r w:rsidR="00C33BB7">
        <w:rPr>
          <w:rFonts w:cstheme="minorHAnsi"/>
        </w:rPr>
        <w:t>December</w:t>
      </w:r>
      <w:r w:rsidR="00C33BB7" w:rsidRPr="001D27C6">
        <w:rPr>
          <w:rFonts w:cstheme="minorHAnsi"/>
        </w:rPr>
        <w:t xml:space="preserve"> </w:t>
      </w:r>
      <w:r w:rsidR="00C33BB7">
        <w:rPr>
          <w:rFonts w:cstheme="minorHAnsi"/>
        </w:rPr>
        <w:t>2022.</w:t>
      </w:r>
      <w:r w:rsidR="00317F53" w:rsidRPr="001D27C6">
        <w:rPr>
          <w:rFonts w:cstheme="minorHAnsi"/>
        </w:rPr>
        <w:t xml:space="preserve"> The </w:t>
      </w:r>
      <w:r w:rsidR="004D6EE3" w:rsidRPr="001D27C6">
        <w:rPr>
          <w:rFonts w:cstheme="minorHAnsi"/>
        </w:rPr>
        <w:t>Information</w:t>
      </w:r>
      <w:r w:rsidR="00317F53" w:rsidRPr="001D27C6">
        <w:rPr>
          <w:rFonts w:cstheme="minorHAnsi"/>
        </w:rPr>
        <w:t xml:space="preserve"> Phase closes at the </w:t>
      </w:r>
      <w:r w:rsidR="0008222B" w:rsidRPr="001D27C6">
        <w:rPr>
          <w:rFonts w:cstheme="minorHAnsi"/>
        </w:rPr>
        <w:t>beginning</w:t>
      </w:r>
      <w:r w:rsidR="00317F53" w:rsidRPr="001D27C6">
        <w:rPr>
          <w:rFonts w:cstheme="minorHAnsi"/>
        </w:rPr>
        <w:t xml:space="preserve"> of day, local time (CET +</w:t>
      </w:r>
      <w:r w:rsidR="00E447C9">
        <w:rPr>
          <w:rFonts w:cstheme="minorHAnsi"/>
        </w:rPr>
        <w:t xml:space="preserve"> </w:t>
      </w:r>
      <w:r w:rsidR="00317F53" w:rsidRPr="001D27C6">
        <w:rPr>
          <w:rFonts w:cstheme="minorHAnsi"/>
        </w:rPr>
        <w:t xml:space="preserve">1), on </w:t>
      </w:r>
      <w:r w:rsidR="0050744A" w:rsidRPr="001D27C6">
        <w:rPr>
          <w:rFonts w:cstheme="minorHAnsi"/>
        </w:rPr>
        <w:t>1</w:t>
      </w:r>
      <w:r w:rsidR="0050744A">
        <w:rPr>
          <w:rFonts w:cstheme="minorHAnsi"/>
        </w:rPr>
        <w:t>3</w:t>
      </w:r>
      <w:r w:rsidR="0050744A" w:rsidRPr="007B52CF">
        <w:rPr>
          <w:rFonts w:cstheme="minorHAnsi"/>
          <w:vertAlign w:val="superscript"/>
        </w:rPr>
        <w:t>th</w:t>
      </w:r>
      <w:r w:rsidR="0050744A" w:rsidRPr="001D27C6">
        <w:rPr>
          <w:rFonts w:cstheme="minorHAnsi"/>
        </w:rPr>
        <w:t xml:space="preserve"> </w:t>
      </w:r>
      <w:r w:rsidR="00317F53" w:rsidRPr="001D27C6">
        <w:rPr>
          <w:rFonts w:cstheme="minorHAnsi"/>
        </w:rPr>
        <w:t xml:space="preserve">of </w:t>
      </w:r>
      <w:r w:rsidR="0050744A">
        <w:rPr>
          <w:rFonts w:cstheme="minorHAnsi"/>
        </w:rPr>
        <w:t>January</w:t>
      </w:r>
      <w:r w:rsidR="00317F53" w:rsidRPr="001D27C6">
        <w:rPr>
          <w:rFonts w:cstheme="minorHAnsi"/>
        </w:rPr>
        <w:t xml:space="preserve"> </w:t>
      </w:r>
      <w:r w:rsidR="0050744A" w:rsidRPr="001D27C6">
        <w:rPr>
          <w:rFonts w:cstheme="minorHAnsi"/>
        </w:rPr>
        <w:t>202</w:t>
      </w:r>
      <w:r w:rsidR="0050744A">
        <w:rPr>
          <w:rFonts w:cstheme="minorHAnsi"/>
        </w:rPr>
        <w:t>3</w:t>
      </w:r>
      <w:r w:rsidR="00317F53" w:rsidRPr="001D27C6">
        <w:rPr>
          <w:rFonts w:cstheme="minorHAnsi"/>
        </w:rPr>
        <w:t>.</w:t>
      </w:r>
    </w:p>
    <w:p w14:paraId="2FD7DC93" w14:textId="3EB56C86" w:rsidR="000D0EF1" w:rsidRPr="001D27C6" w:rsidRDefault="000D0EF1">
      <w:pPr>
        <w:pStyle w:val="ListParagraph"/>
        <w:widowControl w:val="0"/>
        <w:numPr>
          <w:ilvl w:val="1"/>
          <w:numId w:val="20"/>
        </w:numPr>
        <w:suppressAutoHyphens/>
        <w:spacing w:before="120" w:after="120" w:line="360" w:lineRule="auto"/>
        <w:ind w:left="426" w:hanging="568"/>
        <w:jc w:val="both"/>
        <w:rPr>
          <w:rFonts w:cstheme="minorHAnsi"/>
          <w:u w:color="000000"/>
        </w:rPr>
      </w:pPr>
      <w:r w:rsidRPr="001D27C6">
        <w:rPr>
          <w:rFonts w:cstheme="minorHAnsi"/>
        </w:rPr>
        <w:t>No later than</w:t>
      </w:r>
      <w:r w:rsidR="004B01AB" w:rsidRPr="001D27C6">
        <w:rPr>
          <w:rFonts w:cstheme="minorHAnsi"/>
        </w:rPr>
        <w:t xml:space="preserve"> </w:t>
      </w:r>
      <w:r w:rsidR="00AD2ED3">
        <w:rPr>
          <w:rFonts w:cstheme="minorHAnsi"/>
        </w:rPr>
        <w:t xml:space="preserve">20 </w:t>
      </w:r>
      <w:r w:rsidR="004B01AB" w:rsidRPr="001D27C6">
        <w:rPr>
          <w:rFonts w:cstheme="minorHAnsi"/>
        </w:rPr>
        <w:t>(</w:t>
      </w:r>
      <w:r w:rsidR="00AD2ED3" w:rsidRPr="001D27C6">
        <w:rPr>
          <w:rFonts w:cstheme="minorHAnsi"/>
        </w:rPr>
        <w:t>twenty</w:t>
      </w:r>
      <w:r w:rsidR="004B01AB" w:rsidRPr="001D27C6">
        <w:rPr>
          <w:rFonts w:cstheme="minorHAnsi"/>
        </w:rPr>
        <w:t>)</w:t>
      </w:r>
      <w:r w:rsidRPr="001D27C6">
        <w:rPr>
          <w:rFonts w:cstheme="minorHAnsi"/>
        </w:rPr>
        <w:t xml:space="preserve"> Days before the expiration of the Registration Deadline, requests for clarification</w:t>
      </w:r>
      <w:r w:rsidR="00277F54">
        <w:rPr>
          <w:rFonts w:cstheme="minorHAnsi"/>
        </w:rPr>
        <w:t>s</w:t>
      </w:r>
      <w:r w:rsidRPr="001D27C6">
        <w:rPr>
          <w:rFonts w:cstheme="minorHAnsi"/>
        </w:rPr>
        <w:t xml:space="preserve"> exclusively regarding the provisions of the Joint Notice or the Project Proposal, can be addressed to the following email address:</w:t>
      </w:r>
      <w:r w:rsidR="002D7D01" w:rsidRPr="001D27C6">
        <w:rPr>
          <w:rFonts w:cstheme="minorHAnsi"/>
        </w:rPr>
        <w:t xml:space="preserve"> </w:t>
      </w:r>
      <w:hyperlink r:id="rId15" w:history="1">
        <w:r w:rsidR="000417B4" w:rsidRPr="001D27C6">
          <w:rPr>
            <w:rStyle w:val="Hyperlink"/>
            <w:rFonts w:cstheme="minorHAnsi"/>
          </w:rPr>
          <w:t>market-test@desfa.gr</w:t>
        </w:r>
      </w:hyperlink>
      <w:r w:rsidR="001D00D6" w:rsidRPr="001D27C6">
        <w:rPr>
          <w:rFonts w:cstheme="minorHAnsi"/>
        </w:rPr>
        <w:t xml:space="preserve"> .</w:t>
      </w:r>
      <w:r w:rsidR="000417B4" w:rsidRPr="001D27C6">
        <w:rPr>
          <w:rFonts w:cstheme="minorHAnsi"/>
        </w:rPr>
        <w:t xml:space="preserve"> </w:t>
      </w:r>
      <w:r w:rsidR="00287B91" w:rsidRPr="001D27C6">
        <w:rPr>
          <w:rFonts w:cstheme="minorHAnsi"/>
        </w:rPr>
        <w:t xml:space="preserve">Within </w:t>
      </w:r>
      <w:r w:rsidR="00AD2ED3">
        <w:rPr>
          <w:rFonts w:cstheme="minorHAnsi"/>
        </w:rPr>
        <w:t xml:space="preserve">5 </w:t>
      </w:r>
      <w:r w:rsidR="00287B91" w:rsidRPr="001D27C6">
        <w:rPr>
          <w:rFonts w:cstheme="minorHAnsi"/>
        </w:rPr>
        <w:t>(</w:t>
      </w:r>
      <w:r w:rsidR="00AD2ED3" w:rsidRPr="001D27C6">
        <w:rPr>
          <w:rFonts w:cstheme="minorHAnsi"/>
        </w:rPr>
        <w:t>five</w:t>
      </w:r>
      <w:r w:rsidR="00287B91" w:rsidRPr="001D27C6">
        <w:rPr>
          <w:rFonts w:cstheme="minorHAnsi"/>
        </w:rPr>
        <w:t xml:space="preserve">) Business Days from its receipt, DESFA shall provide said clarifications by uploading them, </w:t>
      </w:r>
      <w:r w:rsidR="00790706" w:rsidRPr="001D27C6">
        <w:rPr>
          <w:rFonts w:cstheme="minorHAnsi"/>
        </w:rPr>
        <w:t xml:space="preserve">if </w:t>
      </w:r>
      <w:r w:rsidR="00CA7A85" w:rsidRPr="001D27C6">
        <w:rPr>
          <w:rFonts w:cstheme="minorHAnsi"/>
        </w:rPr>
        <w:t>necessary</w:t>
      </w:r>
      <w:r w:rsidR="00790706" w:rsidRPr="001D27C6">
        <w:rPr>
          <w:rFonts w:cstheme="minorHAnsi"/>
        </w:rPr>
        <w:t>,</w:t>
      </w:r>
      <w:r w:rsidR="00CA7A85" w:rsidRPr="001D27C6">
        <w:rPr>
          <w:rFonts w:cstheme="minorHAnsi"/>
        </w:rPr>
        <w:t xml:space="preserve"> </w:t>
      </w:r>
      <w:r w:rsidR="00287B91" w:rsidRPr="001D27C6">
        <w:rPr>
          <w:rFonts w:cstheme="minorHAnsi"/>
        </w:rPr>
        <w:t xml:space="preserve">to DESFA’s website without disclosing the requesting </w:t>
      </w:r>
      <w:r w:rsidR="000F7288">
        <w:rPr>
          <w:rFonts w:cstheme="minorHAnsi"/>
        </w:rPr>
        <w:t>A</w:t>
      </w:r>
      <w:r w:rsidR="00C57E89" w:rsidRPr="001D27C6">
        <w:rPr>
          <w:rFonts w:cstheme="minorHAnsi"/>
        </w:rPr>
        <w:t>pplicant</w:t>
      </w:r>
      <w:r w:rsidR="00287B91" w:rsidRPr="001D27C6">
        <w:rPr>
          <w:rFonts w:cstheme="minorHAnsi"/>
        </w:rPr>
        <w:t>’s identity.</w:t>
      </w:r>
    </w:p>
    <w:p w14:paraId="0735CD65" w14:textId="77777777" w:rsidR="001A537A" w:rsidRPr="001D27C6" w:rsidRDefault="00C57E89">
      <w:pPr>
        <w:pStyle w:val="ListParagraph"/>
        <w:widowControl w:val="0"/>
        <w:numPr>
          <w:ilvl w:val="1"/>
          <w:numId w:val="20"/>
        </w:numPr>
        <w:suppressAutoHyphens/>
        <w:spacing w:before="120" w:after="120" w:line="360" w:lineRule="auto"/>
        <w:ind w:left="426" w:hanging="568"/>
        <w:jc w:val="both"/>
        <w:rPr>
          <w:rFonts w:cstheme="minorHAnsi"/>
        </w:rPr>
      </w:pPr>
      <w:r w:rsidRPr="001D27C6">
        <w:rPr>
          <w:rFonts w:cstheme="minorHAnsi"/>
        </w:rPr>
        <w:t>Applicants</w:t>
      </w:r>
      <w:r w:rsidR="007265C7" w:rsidRPr="001D27C6">
        <w:rPr>
          <w:rFonts w:cstheme="minorHAnsi"/>
        </w:rPr>
        <w:t xml:space="preserve"> </w:t>
      </w:r>
      <w:proofErr w:type="gramStart"/>
      <w:r w:rsidR="007265C7" w:rsidRPr="001D27C6">
        <w:rPr>
          <w:rFonts w:cstheme="minorHAnsi"/>
        </w:rPr>
        <w:t>have to</w:t>
      </w:r>
      <w:proofErr w:type="gramEnd"/>
      <w:r w:rsidR="007265C7" w:rsidRPr="001D27C6">
        <w:rPr>
          <w:rFonts w:cstheme="minorHAnsi"/>
        </w:rPr>
        <w:t xml:space="preserve"> submit along with </w:t>
      </w:r>
      <w:r w:rsidR="000F7288">
        <w:rPr>
          <w:rFonts w:cstheme="minorHAnsi"/>
        </w:rPr>
        <w:t>their</w:t>
      </w:r>
      <w:r w:rsidR="007265C7" w:rsidRPr="001D27C6">
        <w:rPr>
          <w:rFonts w:cstheme="minorHAnsi"/>
        </w:rPr>
        <w:t xml:space="preserve"> Registration Form the documents provided for in Annex </w:t>
      </w:r>
      <w:r w:rsidRPr="001D27C6">
        <w:rPr>
          <w:rFonts w:cstheme="minorHAnsi"/>
        </w:rPr>
        <w:t>I</w:t>
      </w:r>
      <w:r w:rsidR="00D13F80" w:rsidRPr="001D27C6">
        <w:rPr>
          <w:rFonts w:cstheme="minorHAnsi"/>
        </w:rPr>
        <w:t xml:space="preserve">, the Binding Bid Guarantee </w:t>
      </w:r>
      <w:r w:rsidR="00AB1835" w:rsidRPr="001D27C6">
        <w:rPr>
          <w:rFonts w:cstheme="minorHAnsi"/>
        </w:rPr>
        <w:t>as per Article</w:t>
      </w:r>
      <w:r w:rsidR="00D13F80" w:rsidRPr="001D27C6">
        <w:rPr>
          <w:rFonts w:cstheme="minorHAnsi"/>
        </w:rPr>
        <w:t xml:space="preserve"> 5.13</w:t>
      </w:r>
      <w:r w:rsidR="00AB1835" w:rsidRPr="001D27C6">
        <w:rPr>
          <w:rFonts w:cstheme="minorHAnsi"/>
        </w:rPr>
        <w:t xml:space="preserve"> and </w:t>
      </w:r>
      <w:r w:rsidR="007265C7" w:rsidRPr="001D27C6">
        <w:rPr>
          <w:rFonts w:cstheme="minorHAnsi"/>
        </w:rPr>
        <w:t>a signed N</w:t>
      </w:r>
      <w:r w:rsidR="00220337" w:rsidRPr="001D27C6">
        <w:rPr>
          <w:rFonts w:cstheme="minorHAnsi"/>
        </w:rPr>
        <w:t>on-</w:t>
      </w:r>
      <w:r w:rsidR="007265C7" w:rsidRPr="001D27C6">
        <w:rPr>
          <w:rFonts w:cstheme="minorHAnsi"/>
        </w:rPr>
        <w:t>D</w:t>
      </w:r>
      <w:r w:rsidR="00220337" w:rsidRPr="001D27C6">
        <w:rPr>
          <w:rFonts w:cstheme="minorHAnsi"/>
        </w:rPr>
        <w:t xml:space="preserve">isclosure </w:t>
      </w:r>
      <w:r w:rsidR="007265C7" w:rsidRPr="001D27C6">
        <w:rPr>
          <w:rFonts w:cstheme="minorHAnsi"/>
        </w:rPr>
        <w:t>A</w:t>
      </w:r>
      <w:r w:rsidR="00220337" w:rsidRPr="001D27C6">
        <w:rPr>
          <w:rFonts w:cstheme="minorHAnsi"/>
        </w:rPr>
        <w:t>greement</w:t>
      </w:r>
      <w:r w:rsidR="007265C7" w:rsidRPr="001D27C6">
        <w:rPr>
          <w:rFonts w:cstheme="minorHAnsi"/>
        </w:rPr>
        <w:t xml:space="preserve"> in the form of Annex </w:t>
      </w:r>
      <w:r w:rsidR="00051F0E" w:rsidRPr="001D27C6">
        <w:rPr>
          <w:rFonts w:cstheme="minorHAnsi"/>
        </w:rPr>
        <w:t>VII,</w:t>
      </w:r>
      <w:r w:rsidR="007265C7" w:rsidRPr="001D27C6">
        <w:rPr>
          <w:rFonts w:cstheme="minorHAnsi"/>
        </w:rPr>
        <w:t xml:space="preserve"> in two copies</w:t>
      </w:r>
      <w:r w:rsidR="00C52917" w:rsidRPr="001D27C6">
        <w:rPr>
          <w:rFonts w:cstheme="minorHAnsi"/>
        </w:rPr>
        <w:t>. The Registration Form</w:t>
      </w:r>
      <w:r w:rsidR="004F791A">
        <w:rPr>
          <w:rFonts w:cstheme="minorHAnsi"/>
        </w:rPr>
        <w:t>,</w:t>
      </w:r>
      <w:r w:rsidR="00C52917" w:rsidRPr="001D27C6">
        <w:rPr>
          <w:rFonts w:cstheme="minorHAnsi"/>
        </w:rPr>
        <w:t xml:space="preserve"> along with </w:t>
      </w:r>
      <w:r w:rsidR="004F791A">
        <w:rPr>
          <w:rFonts w:cstheme="minorHAnsi"/>
        </w:rPr>
        <w:t>its</w:t>
      </w:r>
      <w:r w:rsidR="004F791A" w:rsidRPr="001D27C6">
        <w:rPr>
          <w:rFonts w:cstheme="minorHAnsi"/>
        </w:rPr>
        <w:t xml:space="preserve"> </w:t>
      </w:r>
      <w:r w:rsidR="004F791A">
        <w:rPr>
          <w:rFonts w:cstheme="minorHAnsi"/>
        </w:rPr>
        <w:t xml:space="preserve">accompanying </w:t>
      </w:r>
      <w:r w:rsidR="00C52917" w:rsidRPr="001D27C6">
        <w:rPr>
          <w:rFonts w:cstheme="minorHAnsi"/>
        </w:rPr>
        <w:t xml:space="preserve">documents, should be submitted in a sealed package, up until the Registration </w:t>
      </w:r>
      <w:r w:rsidR="001E39C0" w:rsidRPr="001D27C6">
        <w:rPr>
          <w:rFonts w:cstheme="minorHAnsi"/>
        </w:rPr>
        <w:t>Deadline, on</w:t>
      </w:r>
      <w:r w:rsidR="007265C7" w:rsidRPr="001D27C6">
        <w:rPr>
          <w:rFonts w:cstheme="minorHAnsi"/>
        </w:rPr>
        <w:t xml:space="preserve"> which shall be mentioned</w:t>
      </w:r>
      <w:r w:rsidR="0073104C" w:rsidRPr="001D27C6">
        <w:rPr>
          <w:rFonts w:cstheme="minorHAnsi"/>
        </w:rPr>
        <w:t>:</w:t>
      </w:r>
    </w:p>
    <w:p w14:paraId="361554F0" w14:textId="77777777" w:rsidR="009C2A57" w:rsidRPr="001D27C6" w:rsidRDefault="009C2A57">
      <w:pPr>
        <w:numPr>
          <w:ilvl w:val="0"/>
          <w:numId w:val="14"/>
        </w:numPr>
        <w:spacing w:after="100" w:afterAutospacing="1" w:line="276" w:lineRule="auto"/>
        <w:ind w:left="850" w:right="6" w:hanging="357"/>
        <w:jc w:val="both"/>
        <w:rPr>
          <w:rFonts w:cstheme="minorHAnsi"/>
        </w:rPr>
      </w:pPr>
      <w:r w:rsidRPr="001D27C6">
        <w:rPr>
          <w:rFonts w:cstheme="minorHAnsi"/>
        </w:rPr>
        <w:t xml:space="preserve">“Registration Form </w:t>
      </w:r>
      <w:r w:rsidR="00164EBB" w:rsidRPr="001D27C6">
        <w:rPr>
          <w:rFonts w:cstheme="minorHAnsi"/>
        </w:rPr>
        <w:t>for the Incremental Capacity Process</w:t>
      </w:r>
      <w:r w:rsidRPr="001D27C6">
        <w:rPr>
          <w:rFonts w:cstheme="minorHAnsi"/>
        </w:rPr>
        <w:t xml:space="preserve"> at </w:t>
      </w:r>
      <w:proofErr w:type="spellStart"/>
      <w:r w:rsidRPr="001D27C6">
        <w:rPr>
          <w:rFonts w:cstheme="minorHAnsi"/>
        </w:rPr>
        <w:t>Nea</w:t>
      </w:r>
      <w:proofErr w:type="spellEnd"/>
      <w:r w:rsidRPr="001D27C6">
        <w:rPr>
          <w:rFonts w:cstheme="minorHAnsi"/>
        </w:rPr>
        <w:t xml:space="preserve"> </w:t>
      </w:r>
      <w:r w:rsidR="00317B81" w:rsidRPr="001D27C6">
        <w:rPr>
          <w:rFonts w:cstheme="minorHAnsi"/>
        </w:rPr>
        <w:t>Mesimvria</w:t>
      </w:r>
      <w:r w:rsidRPr="001D27C6">
        <w:rPr>
          <w:rFonts w:cstheme="minorHAnsi"/>
        </w:rPr>
        <w:t xml:space="preserve"> Interconnection Point” </w:t>
      </w:r>
    </w:p>
    <w:p w14:paraId="6B684C55" w14:textId="77777777" w:rsidR="009C2A57" w:rsidRPr="001D27C6" w:rsidRDefault="009C794C">
      <w:pPr>
        <w:numPr>
          <w:ilvl w:val="0"/>
          <w:numId w:val="14"/>
        </w:numPr>
        <w:spacing w:after="100" w:afterAutospacing="1" w:line="276" w:lineRule="auto"/>
        <w:ind w:left="850" w:right="6" w:hanging="357"/>
        <w:jc w:val="both"/>
        <w:rPr>
          <w:rFonts w:cstheme="minorHAnsi"/>
        </w:rPr>
      </w:pPr>
      <w:r w:rsidRPr="001D27C6">
        <w:rPr>
          <w:rFonts w:cstheme="minorHAnsi"/>
        </w:rPr>
        <w:t>Applicant’s</w:t>
      </w:r>
      <w:r w:rsidR="00220337" w:rsidRPr="001D27C6">
        <w:rPr>
          <w:rFonts w:cstheme="minorHAnsi"/>
        </w:rPr>
        <w:t xml:space="preserve"> </w:t>
      </w:r>
      <w:r w:rsidR="009C2A57" w:rsidRPr="001D27C6">
        <w:rPr>
          <w:rFonts w:cstheme="minorHAnsi"/>
        </w:rPr>
        <w:t>company name, business residence, telephone number and e-mail address.</w:t>
      </w:r>
    </w:p>
    <w:p w14:paraId="1B454E38" w14:textId="77777777" w:rsidR="00AA2586" w:rsidRPr="001D27C6" w:rsidRDefault="00B83C44">
      <w:pPr>
        <w:pStyle w:val="ListParagraph"/>
        <w:widowControl w:val="0"/>
        <w:numPr>
          <w:ilvl w:val="1"/>
          <w:numId w:val="20"/>
        </w:numPr>
        <w:suppressAutoHyphens/>
        <w:spacing w:before="120" w:after="120" w:line="360" w:lineRule="auto"/>
        <w:ind w:left="426" w:hanging="568"/>
        <w:jc w:val="both"/>
        <w:rPr>
          <w:rFonts w:cstheme="minorHAnsi"/>
        </w:rPr>
      </w:pPr>
      <w:r w:rsidRPr="001D27C6">
        <w:rPr>
          <w:rFonts w:cstheme="minorHAnsi"/>
        </w:rPr>
        <w:t>App</w:t>
      </w:r>
      <w:r w:rsidR="00C437EB" w:rsidRPr="001D27C6">
        <w:rPr>
          <w:rFonts w:cstheme="minorHAnsi"/>
        </w:rPr>
        <w:t>licants</w:t>
      </w:r>
      <w:r w:rsidR="00AA2586" w:rsidRPr="001D27C6">
        <w:rPr>
          <w:rFonts w:cstheme="minorHAnsi"/>
        </w:rPr>
        <w:t xml:space="preserve"> shall submit </w:t>
      </w:r>
      <w:r w:rsidR="00EE4A2E" w:rsidRPr="001D27C6">
        <w:rPr>
          <w:rFonts w:cstheme="minorHAnsi"/>
        </w:rPr>
        <w:t xml:space="preserve">the documents of </w:t>
      </w:r>
      <w:r w:rsidR="00C437EB" w:rsidRPr="001D27C6">
        <w:rPr>
          <w:rFonts w:cstheme="minorHAnsi"/>
        </w:rPr>
        <w:t xml:space="preserve">Article </w:t>
      </w:r>
      <w:r w:rsidR="00EE4A2E" w:rsidRPr="001D27C6">
        <w:rPr>
          <w:rFonts w:cstheme="minorHAnsi"/>
        </w:rPr>
        <w:t>5.6</w:t>
      </w:r>
      <w:r w:rsidR="00AA2586" w:rsidRPr="001D27C6">
        <w:rPr>
          <w:rFonts w:cstheme="minorHAnsi"/>
        </w:rPr>
        <w:t xml:space="preserve"> not later than the Registration Deadline. After the Registration Deadline, no additional document shall be accepted for any reason.</w:t>
      </w:r>
      <w:r w:rsidR="00A66248" w:rsidRPr="001D27C6">
        <w:rPr>
          <w:rFonts w:cstheme="minorHAnsi"/>
        </w:rPr>
        <w:t xml:space="preserve"> </w:t>
      </w:r>
      <w:r w:rsidR="00D01428" w:rsidRPr="001D27C6">
        <w:rPr>
          <w:rFonts w:cstheme="minorHAnsi"/>
        </w:rPr>
        <w:t>For the timely submission of the Registration Form</w:t>
      </w:r>
      <w:r w:rsidR="004C42C4" w:rsidRPr="001D27C6">
        <w:rPr>
          <w:rFonts w:cstheme="minorHAnsi"/>
        </w:rPr>
        <w:t>,</w:t>
      </w:r>
      <w:r w:rsidR="00D01428" w:rsidRPr="001D27C6">
        <w:rPr>
          <w:rFonts w:cstheme="minorHAnsi"/>
        </w:rPr>
        <w:t xml:space="preserve"> </w:t>
      </w:r>
      <w:r w:rsidR="004C42C4" w:rsidRPr="001D27C6">
        <w:rPr>
          <w:rFonts w:cstheme="minorHAnsi"/>
        </w:rPr>
        <w:t xml:space="preserve">the date and time of its submission in the DESFA Protocol </w:t>
      </w:r>
      <w:r w:rsidR="00A66248" w:rsidRPr="001D27C6">
        <w:rPr>
          <w:rFonts w:cstheme="minorHAnsi"/>
        </w:rPr>
        <w:t>shall</w:t>
      </w:r>
      <w:r w:rsidR="004C42C4" w:rsidRPr="001D27C6">
        <w:rPr>
          <w:rFonts w:cstheme="minorHAnsi"/>
        </w:rPr>
        <w:t xml:space="preserve"> be</w:t>
      </w:r>
      <w:r w:rsidR="00A66248" w:rsidRPr="001D27C6">
        <w:rPr>
          <w:rFonts w:cstheme="minorHAnsi"/>
        </w:rPr>
        <w:t xml:space="preserve"> </w:t>
      </w:r>
      <w:proofErr w:type="gramStart"/>
      <w:r w:rsidR="00A66248" w:rsidRPr="001D27C6">
        <w:rPr>
          <w:rFonts w:cstheme="minorHAnsi"/>
        </w:rPr>
        <w:t>take</w:t>
      </w:r>
      <w:r w:rsidR="004C42C4" w:rsidRPr="001D27C6">
        <w:rPr>
          <w:rFonts w:cstheme="minorHAnsi"/>
        </w:rPr>
        <w:t>n</w:t>
      </w:r>
      <w:r w:rsidR="00A66248" w:rsidRPr="001D27C6">
        <w:rPr>
          <w:rFonts w:cstheme="minorHAnsi"/>
        </w:rPr>
        <w:t xml:space="preserve"> into account</w:t>
      </w:r>
      <w:proofErr w:type="gramEnd"/>
      <w:r w:rsidR="00A66248" w:rsidRPr="001D27C6">
        <w:rPr>
          <w:rFonts w:cstheme="minorHAnsi"/>
        </w:rPr>
        <w:t xml:space="preserve"> and not the date of sending the </w:t>
      </w:r>
      <w:r w:rsidR="00A22E30" w:rsidRPr="001D27C6">
        <w:rPr>
          <w:rFonts w:cstheme="minorHAnsi"/>
        </w:rPr>
        <w:t>Registration Form</w:t>
      </w:r>
      <w:r w:rsidR="00A66248" w:rsidRPr="001D27C6">
        <w:rPr>
          <w:rFonts w:cstheme="minorHAnsi"/>
        </w:rPr>
        <w:t xml:space="preserve">. In case of submission by courier, DESFA is not responsible for the timely submission of the </w:t>
      </w:r>
      <w:r w:rsidR="00A22E30" w:rsidRPr="001D27C6">
        <w:rPr>
          <w:rFonts w:cstheme="minorHAnsi"/>
        </w:rPr>
        <w:t>Registration Form or any other document whatsoever</w:t>
      </w:r>
      <w:r w:rsidR="00A66248" w:rsidRPr="001D27C6">
        <w:rPr>
          <w:rFonts w:cstheme="minorHAnsi"/>
        </w:rPr>
        <w:t>.</w:t>
      </w:r>
      <w:r w:rsidR="00AA2586" w:rsidRPr="001D27C6">
        <w:rPr>
          <w:rFonts w:cstheme="minorHAnsi"/>
        </w:rPr>
        <w:t xml:space="preserve"> Registration </w:t>
      </w:r>
      <w:r w:rsidR="00073463" w:rsidRPr="001D27C6">
        <w:rPr>
          <w:rFonts w:cstheme="minorHAnsi"/>
        </w:rPr>
        <w:t xml:space="preserve">Form and related </w:t>
      </w:r>
      <w:r w:rsidR="00AA2586" w:rsidRPr="001D27C6">
        <w:rPr>
          <w:rFonts w:cstheme="minorHAnsi"/>
        </w:rPr>
        <w:t xml:space="preserve">documents submitted later than the Registration Deadline shall not be accepted by DESFA, regardless of the reason for the late submission. </w:t>
      </w:r>
      <w:r w:rsidR="00A22E30" w:rsidRPr="001D27C6">
        <w:rPr>
          <w:rFonts w:cstheme="minorHAnsi"/>
        </w:rPr>
        <w:t xml:space="preserve"> </w:t>
      </w:r>
      <w:r w:rsidR="004C42C4" w:rsidRPr="001D27C6">
        <w:rPr>
          <w:rFonts w:cstheme="minorHAnsi"/>
        </w:rPr>
        <w:t xml:space="preserve"> </w:t>
      </w:r>
    </w:p>
    <w:p w14:paraId="4CD67F34" w14:textId="77777777" w:rsidR="009F6984" w:rsidRPr="001D27C6" w:rsidRDefault="000315C3">
      <w:pPr>
        <w:pStyle w:val="ListParagraph"/>
        <w:widowControl w:val="0"/>
        <w:numPr>
          <w:ilvl w:val="1"/>
          <w:numId w:val="20"/>
        </w:numPr>
        <w:suppressAutoHyphens/>
        <w:spacing w:before="120" w:after="120" w:line="360" w:lineRule="auto"/>
        <w:ind w:left="426" w:hanging="568"/>
        <w:jc w:val="both"/>
        <w:rPr>
          <w:rFonts w:cstheme="minorHAnsi"/>
        </w:rPr>
      </w:pPr>
      <w:bookmarkStart w:id="39" w:name="_Hlk71884728"/>
      <w:r w:rsidRPr="001D27C6">
        <w:rPr>
          <w:rFonts w:eastAsia="Times New Roman" w:cstheme="minorHAnsi"/>
          <w:lang w:eastAsia="nl-NL"/>
        </w:rPr>
        <w:t>In case of submission of private documents,</w:t>
      </w:r>
      <w:r w:rsidR="00D26BC5" w:rsidRPr="001D27C6">
        <w:rPr>
          <w:rFonts w:eastAsia="Times New Roman" w:cstheme="minorHAnsi"/>
          <w:lang w:eastAsia="nl-NL"/>
        </w:rPr>
        <w:t xml:space="preserve"> including the Registration Form,</w:t>
      </w:r>
      <w:r w:rsidRPr="001D27C6">
        <w:rPr>
          <w:rFonts w:eastAsia="Times New Roman" w:cstheme="minorHAnsi"/>
          <w:lang w:eastAsia="nl-NL"/>
        </w:rPr>
        <w:t xml:space="preserve"> are required to bear a certificate of authenticity of the signature of the signatory from </w:t>
      </w:r>
      <w:r w:rsidR="004D5332" w:rsidRPr="001D27C6">
        <w:rPr>
          <w:rFonts w:eastAsia="Times New Roman" w:cstheme="minorHAnsi"/>
          <w:lang w:eastAsia="nl-NL"/>
        </w:rPr>
        <w:t>a</w:t>
      </w:r>
      <w:r w:rsidRPr="001D27C6">
        <w:rPr>
          <w:rFonts w:eastAsia="Times New Roman" w:cstheme="minorHAnsi"/>
          <w:lang w:eastAsia="nl-NL"/>
        </w:rPr>
        <w:t xml:space="preserve"> competent authority</w:t>
      </w:r>
      <w:r w:rsidR="00517531" w:rsidRPr="001D27C6">
        <w:rPr>
          <w:rFonts w:eastAsia="Times New Roman" w:cstheme="minorHAnsi"/>
          <w:lang w:eastAsia="nl-NL"/>
        </w:rPr>
        <w:t xml:space="preserve">. </w:t>
      </w:r>
      <w:r w:rsidR="00105563" w:rsidRPr="001D27C6">
        <w:rPr>
          <w:rFonts w:eastAsia="Times New Roman" w:cstheme="minorHAnsi"/>
          <w:lang w:eastAsia="nl-NL"/>
        </w:rPr>
        <w:t xml:space="preserve">The submitted documents coming from a foreign country shall </w:t>
      </w:r>
      <w:r w:rsidR="00D46BBE" w:rsidRPr="001D27C6">
        <w:rPr>
          <w:rFonts w:eastAsia="Times New Roman" w:cstheme="minorHAnsi"/>
          <w:lang w:eastAsia="nl-NL"/>
        </w:rPr>
        <w:t xml:space="preserve">also </w:t>
      </w:r>
      <w:r w:rsidR="00105563" w:rsidRPr="001D27C6">
        <w:rPr>
          <w:rFonts w:eastAsia="Times New Roman" w:cstheme="minorHAnsi"/>
          <w:lang w:eastAsia="nl-NL"/>
        </w:rPr>
        <w:t>bear the note of the Hague Convention (Apostille)</w:t>
      </w:r>
      <w:r w:rsidR="00D46BBE" w:rsidRPr="001D27C6">
        <w:rPr>
          <w:rFonts w:eastAsia="Times New Roman" w:cstheme="minorHAnsi"/>
          <w:lang w:eastAsia="nl-NL"/>
        </w:rPr>
        <w:t xml:space="preserve"> </w:t>
      </w:r>
      <w:r w:rsidR="00E44BE2" w:rsidRPr="001D27C6">
        <w:rPr>
          <w:rFonts w:cstheme="minorHAnsi"/>
        </w:rPr>
        <w:t>and</w:t>
      </w:r>
      <w:r w:rsidR="00E44BE2" w:rsidRPr="001D27C6">
        <w:rPr>
          <w:rFonts w:eastAsia="Times New Roman" w:cstheme="minorHAnsi"/>
          <w:lang w:eastAsia="nl-NL"/>
        </w:rPr>
        <w:t xml:space="preserve"> </w:t>
      </w:r>
      <w:r w:rsidR="00A9191B" w:rsidRPr="001D27C6">
        <w:rPr>
          <w:rFonts w:eastAsia="Times New Roman" w:cstheme="minorHAnsi"/>
          <w:lang w:eastAsia="nl-NL"/>
        </w:rPr>
        <w:t>must be submitted in an official translation into the Greek language.</w:t>
      </w:r>
    </w:p>
    <w:bookmarkEnd w:id="39"/>
    <w:p w14:paraId="5BDAC4F5" w14:textId="77777777" w:rsidR="00817545" w:rsidRPr="001D27C6" w:rsidRDefault="001854E5" w:rsidP="00837724">
      <w:pPr>
        <w:pStyle w:val="ListParagraph"/>
        <w:widowControl w:val="0"/>
        <w:suppressAutoHyphens/>
        <w:spacing w:before="120" w:after="120" w:line="360" w:lineRule="auto"/>
        <w:ind w:left="426"/>
        <w:jc w:val="both"/>
        <w:rPr>
          <w:rFonts w:cstheme="minorHAnsi"/>
        </w:rPr>
      </w:pPr>
      <w:r w:rsidRPr="001D27C6">
        <w:rPr>
          <w:rFonts w:eastAsia="Times New Roman" w:cstheme="minorHAnsi"/>
          <w:lang w:eastAsia="nl-NL"/>
        </w:rPr>
        <w:t xml:space="preserve">Documents bearing authorized electronic signatures may be submitted as hard copies following </w:t>
      </w:r>
      <w:r w:rsidRPr="001D27C6">
        <w:rPr>
          <w:rFonts w:eastAsia="Times New Roman" w:cstheme="minorHAnsi"/>
          <w:lang w:eastAsia="nl-NL"/>
        </w:rPr>
        <w:lastRenderedPageBreak/>
        <w:t>the provisions of law 4727/2020. Specifically, printed original electronic public document or electronic exact copy or digitized electronic copy are accepted in accordance with the provisions of the article 14 of law 4727/2020. Printed private documents, issued by natural or legal persons or legal entities, using an authorized electronic signature or an approved electronic stamp are accepted if they are certified as true copies of the electronic documents in accordance with the article 15 of law 4727/2020</w:t>
      </w:r>
      <w:r w:rsidR="00FD6420" w:rsidRPr="001D27C6">
        <w:rPr>
          <w:rFonts w:eastAsia="Times New Roman" w:cstheme="minorHAnsi"/>
          <w:lang w:eastAsia="nl-NL"/>
        </w:rPr>
        <w:t>.</w:t>
      </w:r>
    </w:p>
    <w:p w14:paraId="72C2C763" w14:textId="77777777" w:rsidR="006D2A55" w:rsidRPr="001D27C6" w:rsidRDefault="003F4944">
      <w:pPr>
        <w:pStyle w:val="ListParagraph"/>
        <w:widowControl w:val="0"/>
        <w:numPr>
          <w:ilvl w:val="1"/>
          <w:numId w:val="20"/>
        </w:numPr>
        <w:suppressAutoHyphens/>
        <w:spacing w:before="120" w:after="120" w:line="360" w:lineRule="auto"/>
        <w:ind w:left="426" w:hanging="568"/>
        <w:jc w:val="both"/>
        <w:rPr>
          <w:rFonts w:cstheme="minorHAnsi"/>
        </w:rPr>
      </w:pPr>
      <w:r w:rsidRPr="001D27C6">
        <w:rPr>
          <w:rFonts w:cstheme="minorHAnsi"/>
        </w:rPr>
        <w:t>After</w:t>
      </w:r>
      <w:r w:rsidR="005D2E2E" w:rsidRPr="001D27C6">
        <w:rPr>
          <w:rFonts w:cstheme="minorHAnsi"/>
        </w:rPr>
        <w:t xml:space="preserve"> the end of the </w:t>
      </w:r>
      <w:r w:rsidR="00F373C8" w:rsidRPr="001D27C6">
        <w:rPr>
          <w:rFonts w:cstheme="minorHAnsi"/>
        </w:rPr>
        <w:t xml:space="preserve">Registration </w:t>
      </w:r>
      <w:r w:rsidR="005D2E2E" w:rsidRPr="001D27C6">
        <w:rPr>
          <w:rFonts w:cstheme="minorHAnsi"/>
        </w:rPr>
        <w:t>P</w:t>
      </w:r>
      <w:r w:rsidRPr="001D27C6">
        <w:rPr>
          <w:rFonts w:cstheme="minorHAnsi"/>
        </w:rPr>
        <w:t>eriod,</w:t>
      </w:r>
      <w:r w:rsidR="005D2E2E" w:rsidRPr="001D27C6">
        <w:rPr>
          <w:rFonts w:cstheme="minorHAnsi"/>
        </w:rPr>
        <w:t xml:space="preserve"> </w:t>
      </w:r>
      <w:r w:rsidR="00F32EA8" w:rsidRPr="001D27C6">
        <w:rPr>
          <w:rFonts w:cstheme="minorHAnsi"/>
        </w:rPr>
        <w:t xml:space="preserve">DESFA </w:t>
      </w:r>
      <w:r w:rsidR="00C86FA7" w:rsidRPr="001D27C6">
        <w:rPr>
          <w:rFonts w:cstheme="minorHAnsi"/>
        </w:rPr>
        <w:t>shall</w:t>
      </w:r>
      <w:r w:rsidR="00090544" w:rsidRPr="001D27C6">
        <w:rPr>
          <w:rFonts w:cstheme="minorHAnsi"/>
        </w:rPr>
        <w:t xml:space="preserve"> evaluate </w:t>
      </w:r>
      <w:r w:rsidR="00513F19" w:rsidRPr="001D27C6">
        <w:rPr>
          <w:rFonts w:cstheme="minorHAnsi"/>
        </w:rPr>
        <w:t xml:space="preserve">the </w:t>
      </w:r>
      <w:r w:rsidR="00513F19" w:rsidRPr="001D27C6">
        <w:rPr>
          <w:rFonts w:cstheme="minorHAnsi"/>
          <w:spacing w:val="2"/>
          <w:szCs w:val="24"/>
        </w:rPr>
        <w:t xml:space="preserve">validity and completeness of </w:t>
      </w:r>
      <w:r w:rsidR="00090544" w:rsidRPr="001D27C6">
        <w:rPr>
          <w:rFonts w:cstheme="minorHAnsi"/>
        </w:rPr>
        <w:t>the documents submitted</w:t>
      </w:r>
      <w:r w:rsidR="005D2E2E" w:rsidRPr="001D27C6">
        <w:rPr>
          <w:rFonts w:cstheme="minorHAnsi"/>
        </w:rPr>
        <w:t xml:space="preserve">. </w:t>
      </w:r>
    </w:p>
    <w:p w14:paraId="35681FBF" w14:textId="7289B541" w:rsidR="008C3848" w:rsidRPr="001D27C6" w:rsidRDefault="00090544">
      <w:pPr>
        <w:pStyle w:val="ListParagraph"/>
        <w:widowControl w:val="0"/>
        <w:numPr>
          <w:ilvl w:val="1"/>
          <w:numId w:val="20"/>
        </w:numPr>
        <w:suppressAutoHyphens/>
        <w:spacing w:before="120" w:after="120" w:line="360" w:lineRule="auto"/>
        <w:ind w:left="426" w:hanging="568"/>
        <w:jc w:val="both"/>
        <w:rPr>
          <w:rFonts w:cstheme="minorHAnsi"/>
        </w:rPr>
      </w:pPr>
      <w:r w:rsidRPr="001D27C6">
        <w:rPr>
          <w:rFonts w:cstheme="minorHAnsi"/>
        </w:rPr>
        <w:t xml:space="preserve">Within </w:t>
      </w:r>
      <w:r w:rsidR="0095068C">
        <w:rPr>
          <w:rFonts w:cstheme="minorHAnsi"/>
        </w:rPr>
        <w:t>14 (fourteen)</w:t>
      </w:r>
      <w:r w:rsidRPr="001D27C6">
        <w:rPr>
          <w:rFonts w:cstheme="minorHAnsi"/>
        </w:rPr>
        <w:t xml:space="preserve"> Business Days after the </w:t>
      </w:r>
      <w:r w:rsidR="00837A61" w:rsidRPr="001D27C6">
        <w:rPr>
          <w:rFonts w:cstheme="minorHAnsi"/>
        </w:rPr>
        <w:t>Registration</w:t>
      </w:r>
      <w:r w:rsidRPr="001D27C6">
        <w:rPr>
          <w:rFonts w:cstheme="minorHAnsi"/>
        </w:rPr>
        <w:t xml:space="preserve"> Deadline, DESFA shall</w:t>
      </w:r>
      <w:r w:rsidR="00837A61" w:rsidRPr="001D27C6">
        <w:rPr>
          <w:rFonts w:cstheme="minorHAnsi"/>
        </w:rPr>
        <w:t xml:space="preserve"> </w:t>
      </w:r>
      <w:r w:rsidRPr="001D27C6">
        <w:rPr>
          <w:rFonts w:cstheme="minorHAnsi"/>
        </w:rPr>
        <w:t xml:space="preserve">address </w:t>
      </w:r>
      <w:r w:rsidR="000A336B" w:rsidRPr="001D27C6">
        <w:rPr>
          <w:rFonts w:cstheme="minorHAnsi"/>
        </w:rPr>
        <w:t xml:space="preserve">to each </w:t>
      </w:r>
      <w:r w:rsidR="006A6C49" w:rsidRPr="001D27C6">
        <w:rPr>
          <w:rFonts w:cstheme="minorHAnsi"/>
        </w:rPr>
        <w:t>Applicant</w:t>
      </w:r>
      <w:r w:rsidR="000A336B" w:rsidRPr="001D27C6">
        <w:rPr>
          <w:rFonts w:cstheme="minorHAnsi"/>
        </w:rPr>
        <w:t xml:space="preserve"> </w:t>
      </w:r>
      <w:r w:rsidRPr="001D27C6">
        <w:rPr>
          <w:rFonts w:cstheme="minorHAnsi"/>
        </w:rPr>
        <w:t xml:space="preserve">a notification </w:t>
      </w:r>
      <w:r w:rsidR="00837A61" w:rsidRPr="001D27C6">
        <w:rPr>
          <w:rFonts w:cstheme="minorHAnsi"/>
        </w:rPr>
        <w:t xml:space="preserve">either </w:t>
      </w:r>
      <w:r w:rsidR="000A336B" w:rsidRPr="001D27C6">
        <w:rPr>
          <w:rFonts w:cstheme="minorHAnsi"/>
        </w:rPr>
        <w:t xml:space="preserve">confirming </w:t>
      </w:r>
      <w:r w:rsidRPr="001D27C6">
        <w:rPr>
          <w:rFonts w:cstheme="minorHAnsi"/>
        </w:rPr>
        <w:t xml:space="preserve">completeness and the validity of the documents submitted, or </w:t>
      </w:r>
      <w:r w:rsidR="00837A61" w:rsidRPr="001D27C6">
        <w:rPr>
          <w:rFonts w:cstheme="minorHAnsi"/>
        </w:rPr>
        <w:t>otherwise rejecting</w:t>
      </w:r>
      <w:r w:rsidR="00196572" w:rsidRPr="001D27C6">
        <w:rPr>
          <w:rFonts w:cstheme="minorHAnsi"/>
        </w:rPr>
        <w:t xml:space="preserve">, </w:t>
      </w:r>
      <w:proofErr w:type="gramStart"/>
      <w:r w:rsidR="00196572" w:rsidRPr="001D27C6">
        <w:rPr>
          <w:rFonts w:cstheme="minorHAnsi"/>
        </w:rPr>
        <w:t>informing also</w:t>
      </w:r>
      <w:proofErr w:type="gramEnd"/>
      <w:r w:rsidR="00196572" w:rsidRPr="001D27C6">
        <w:rPr>
          <w:rFonts w:cstheme="minorHAnsi"/>
        </w:rPr>
        <w:t xml:space="preserve"> RAE,</w:t>
      </w:r>
      <w:r w:rsidR="000A336B" w:rsidRPr="001D27C6">
        <w:rPr>
          <w:rFonts w:cstheme="minorHAnsi"/>
        </w:rPr>
        <w:t xml:space="preserve"> the participation in the process</w:t>
      </w:r>
      <w:r w:rsidRPr="001D27C6">
        <w:rPr>
          <w:rFonts w:cstheme="minorHAnsi"/>
        </w:rPr>
        <w:t>.</w:t>
      </w:r>
      <w:r w:rsidR="008C3848" w:rsidRPr="001D27C6">
        <w:rPr>
          <w:rFonts w:cstheme="minorHAnsi"/>
        </w:rPr>
        <w:t xml:space="preserve"> </w:t>
      </w:r>
    </w:p>
    <w:p w14:paraId="7696A2BF" w14:textId="13D09B8F" w:rsidR="00A0223C" w:rsidRPr="001D27C6" w:rsidRDefault="00090544">
      <w:pPr>
        <w:pStyle w:val="ListParagraph"/>
        <w:widowControl w:val="0"/>
        <w:numPr>
          <w:ilvl w:val="1"/>
          <w:numId w:val="20"/>
        </w:numPr>
        <w:suppressAutoHyphens/>
        <w:spacing w:before="120" w:after="120" w:line="360" w:lineRule="auto"/>
        <w:ind w:left="426" w:hanging="568"/>
        <w:jc w:val="both"/>
        <w:rPr>
          <w:rFonts w:cstheme="minorHAnsi"/>
          <w:spacing w:val="2"/>
        </w:rPr>
      </w:pPr>
      <w:r w:rsidRPr="001D27C6">
        <w:rPr>
          <w:rFonts w:cstheme="minorHAnsi"/>
        </w:rPr>
        <w:t>Where a</w:t>
      </w:r>
      <w:r w:rsidR="00EE4882" w:rsidRPr="001D27C6">
        <w:rPr>
          <w:rFonts w:cstheme="minorHAnsi"/>
        </w:rPr>
        <w:t>n</w:t>
      </w:r>
      <w:r w:rsidRPr="001D27C6">
        <w:rPr>
          <w:rFonts w:cstheme="minorHAnsi"/>
        </w:rPr>
        <w:t xml:space="preserve"> </w:t>
      </w:r>
      <w:r w:rsidR="009A7DCA" w:rsidRPr="001D27C6">
        <w:rPr>
          <w:rFonts w:cstheme="minorHAnsi"/>
        </w:rPr>
        <w:t xml:space="preserve">Applicant </w:t>
      </w:r>
      <w:r w:rsidRPr="001D27C6">
        <w:rPr>
          <w:rFonts w:cstheme="minorHAnsi"/>
        </w:rPr>
        <w:t xml:space="preserve">disputes the terms of the </w:t>
      </w:r>
      <w:r w:rsidR="00B72CA9" w:rsidRPr="001D27C6">
        <w:rPr>
          <w:rFonts w:cstheme="minorHAnsi"/>
        </w:rPr>
        <w:t>r</w:t>
      </w:r>
      <w:r w:rsidRPr="001D27C6">
        <w:rPr>
          <w:rFonts w:cstheme="minorHAnsi"/>
        </w:rPr>
        <w:t xml:space="preserve">ejection </w:t>
      </w:r>
      <w:r w:rsidR="00B72CA9" w:rsidRPr="001D27C6">
        <w:rPr>
          <w:rFonts w:cstheme="minorHAnsi"/>
        </w:rPr>
        <w:t>n</w:t>
      </w:r>
      <w:r w:rsidRPr="001D27C6">
        <w:rPr>
          <w:rFonts w:cstheme="minorHAnsi"/>
        </w:rPr>
        <w:t xml:space="preserve">otification, that </w:t>
      </w:r>
      <w:r w:rsidR="009A7DCA" w:rsidRPr="001D27C6">
        <w:rPr>
          <w:rFonts w:cstheme="minorHAnsi"/>
        </w:rPr>
        <w:t xml:space="preserve">applicant </w:t>
      </w:r>
      <w:r w:rsidRPr="001D27C6">
        <w:rPr>
          <w:rFonts w:cstheme="minorHAnsi"/>
        </w:rPr>
        <w:t xml:space="preserve">may seek remediation by filing an </w:t>
      </w:r>
      <w:r w:rsidR="00BC5458" w:rsidRPr="001D27C6">
        <w:rPr>
          <w:rFonts w:cstheme="minorHAnsi"/>
        </w:rPr>
        <w:t>a</w:t>
      </w:r>
      <w:r w:rsidRPr="001D27C6">
        <w:rPr>
          <w:rFonts w:cstheme="minorHAnsi"/>
        </w:rPr>
        <w:t xml:space="preserve">ppeal </w:t>
      </w:r>
      <w:r w:rsidR="00BC5458" w:rsidRPr="001D27C6">
        <w:rPr>
          <w:rFonts w:cstheme="minorHAnsi"/>
        </w:rPr>
        <w:t>l</w:t>
      </w:r>
      <w:r w:rsidRPr="001D27C6">
        <w:rPr>
          <w:rFonts w:cstheme="minorHAnsi"/>
        </w:rPr>
        <w:t xml:space="preserve">etter duly signed by the legal representative of the </w:t>
      </w:r>
      <w:r w:rsidR="009A7DCA" w:rsidRPr="001D27C6">
        <w:rPr>
          <w:rFonts w:cstheme="minorHAnsi"/>
        </w:rPr>
        <w:t>Applicant</w:t>
      </w:r>
      <w:r w:rsidRPr="001D27C6">
        <w:rPr>
          <w:rFonts w:cstheme="minorHAnsi"/>
        </w:rPr>
        <w:t xml:space="preserve">, within </w:t>
      </w:r>
      <w:r w:rsidR="003C46AF">
        <w:rPr>
          <w:rFonts w:cstheme="minorHAnsi"/>
        </w:rPr>
        <w:t>5 (five)</w:t>
      </w:r>
      <w:r w:rsidRPr="001D27C6">
        <w:rPr>
          <w:rFonts w:cstheme="minorHAnsi"/>
        </w:rPr>
        <w:t xml:space="preserve"> Days from the receipt of the </w:t>
      </w:r>
      <w:r w:rsidR="0035242C" w:rsidRPr="001D27C6">
        <w:rPr>
          <w:rFonts w:cstheme="minorHAnsi"/>
        </w:rPr>
        <w:t>rejection notification</w:t>
      </w:r>
      <w:r w:rsidRPr="001D27C6">
        <w:rPr>
          <w:rFonts w:cstheme="minorHAnsi"/>
        </w:rPr>
        <w:t xml:space="preserve">, either by courier or registered mail </w:t>
      </w:r>
      <w:r w:rsidR="002E1944" w:rsidRPr="001D27C6">
        <w:rPr>
          <w:rFonts w:cstheme="minorHAnsi"/>
        </w:rPr>
        <w:t>at the address specified in Article 5.3,</w:t>
      </w:r>
      <w:r w:rsidR="00EE5DFB" w:rsidRPr="001D27C6">
        <w:rPr>
          <w:rFonts w:cstheme="minorHAnsi"/>
        </w:rPr>
        <w:t xml:space="preserve"> </w:t>
      </w:r>
      <w:r w:rsidRPr="001D27C6">
        <w:rPr>
          <w:rFonts w:cstheme="minorHAnsi"/>
        </w:rPr>
        <w:t xml:space="preserve">or in electronic form </w:t>
      </w:r>
      <w:r w:rsidR="006B2953" w:rsidRPr="001D27C6">
        <w:rPr>
          <w:rFonts w:cstheme="minorHAnsi"/>
        </w:rPr>
        <w:t xml:space="preserve">to following email address: </w:t>
      </w:r>
      <w:hyperlink r:id="rId16" w:history="1">
        <w:r w:rsidR="005910C8" w:rsidRPr="001D27C6">
          <w:rPr>
            <w:rStyle w:val="Hyperlink"/>
            <w:rFonts w:cstheme="minorHAnsi"/>
          </w:rPr>
          <w:t>market-test@desfa.gr</w:t>
        </w:r>
      </w:hyperlink>
      <w:r w:rsidR="005910C8" w:rsidRPr="001D27C6">
        <w:rPr>
          <w:rFonts w:cstheme="minorHAnsi"/>
        </w:rPr>
        <w:t>.</w:t>
      </w:r>
      <w:r w:rsidRPr="001D27C6">
        <w:rPr>
          <w:rFonts w:cstheme="minorHAnsi"/>
        </w:rPr>
        <w:t xml:space="preserve"> </w:t>
      </w:r>
    </w:p>
    <w:p w14:paraId="0BEE7AB7" w14:textId="77777777" w:rsidR="00090544" w:rsidRPr="001D27C6" w:rsidRDefault="00090544">
      <w:pPr>
        <w:pStyle w:val="ListParagraph"/>
        <w:widowControl w:val="0"/>
        <w:numPr>
          <w:ilvl w:val="1"/>
          <w:numId w:val="20"/>
        </w:numPr>
        <w:suppressAutoHyphens/>
        <w:spacing w:before="120" w:after="120" w:line="360" w:lineRule="auto"/>
        <w:ind w:left="426" w:hanging="568"/>
        <w:jc w:val="both"/>
        <w:rPr>
          <w:rFonts w:cstheme="minorHAnsi"/>
        </w:rPr>
      </w:pPr>
      <w:r w:rsidRPr="001D27C6">
        <w:rPr>
          <w:rFonts w:cstheme="minorHAnsi"/>
        </w:rPr>
        <w:t xml:space="preserve">Within </w:t>
      </w:r>
      <w:r w:rsidR="00E42F8D">
        <w:rPr>
          <w:rFonts w:cstheme="minorHAnsi"/>
        </w:rPr>
        <w:t>5 (</w:t>
      </w:r>
      <w:r w:rsidRPr="001D27C6">
        <w:rPr>
          <w:rFonts w:cstheme="minorHAnsi"/>
        </w:rPr>
        <w:t>five</w:t>
      </w:r>
      <w:r w:rsidR="00E42F8D">
        <w:rPr>
          <w:rFonts w:cstheme="minorHAnsi"/>
        </w:rPr>
        <w:t>)</w:t>
      </w:r>
      <w:r w:rsidRPr="001D27C6">
        <w:rPr>
          <w:rFonts w:cstheme="minorHAnsi"/>
        </w:rPr>
        <w:t xml:space="preserve"> Days from receipt, DES</w:t>
      </w:r>
      <w:r w:rsidR="0021759A" w:rsidRPr="001D27C6">
        <w:rPr>
          <w:rFonts w:cstheme="minorHAnsi"/>
        </w:rPr>
        <w:t>FA shall examine any submitted appeal l</w:t>
      </w:r>
      <w:r w:rsidRPr="001D27C6">
        <w:rPr>
          <w:rFonts w:cstheme="minorHAnsi"/>
        </w:rPr>
        <w:t xml:space="preserve">etter and inform the </w:t>
      </w:r>
      <w:r w:rsidR="006B2953" w:rsidRPr="001D27C6">
        <w:rPr>
          <w:rFonts w:cstheme="minorHAnsi"/>
        </w:rPr>
        <w:t>Applicant</w:t>
      </w:r>
      <w:r w:rsidR="00A0223C" w:rsidRPr="001D27C6">
        <w:rPr>
          <w:rFonts w:cstheme="minorHAnsi"/>
        </w:rPr>
        <w:t xml:space="preserve"> and RAE</w:t>
      </w:r>
      <w:r w:rsidR="006B2953" w:rsidRPr="001D27C6">
        <w:rPr>
          <w:rFonts w:cstheme="minorHAnsi"/>
        </w:rPr>
        <w:t xml:space="preserve"> </w:t>
      </w:r>
      <w:r w:rsidRPr="001D27C6">
        <w:rPr>
          <w:rFonts w:cstheme="minorHAnsi"/>
        </w:rPr>
        <w:t xml:space="preserve">on its decision by issuing an </w:t>
      </w:r>
      <w:r w:rsidR="0021759A" w:rsidRPr="001D27C6">
        <w:rPr>
          <w:rFonts w:cstheme="minorHAnsi"/>
        </w:rPr>
        <w:t>a</w:t>
      </w:r>
      <w:r w:rsidRPr="001D27C6">
        <w:rPr>
          <w:rFonts w:cstheme="minorHAnsi"/>
        </w:rPr>
        <w:t xml:space="preserve">ppeal </w:t>
      </w:r>
      <w:r w:rsidR="0021759A" w:rsidRPr="001D27C6">
        <w:rPr>
          <w:rFonts w:cstheme="minorHAnsi"/>
        </w:rPr>
        <w:t>n</w:t>
      </w:r>
      <w:r w:rsidRPr="001D27C6">
        <w:rPr>
          <w:rFonts w:cstheme="minorHAnsi"/>
        </w:rPr>
        <w:t xml:space="preserve">otification. Such decision shall be duly substantiated. </w:t>
      </w:r>
    </w:p>
    <w:p w14:paraId="56E685BC" w14:textId="40D8013E" w:rsidR="005D2E2E" w:rsidRPr="001D27C6" w:rsidRDefault="00AB2FB0">
      <w:pPr>
        <w:pStyle w:val="ListParagraph"/>
        <w:widowControl w:val="0"/>
        <w:numPr>
          <w:ilvl w:val="1"/>
          <w:numId w:val="20"/>
        </w:numPr>
        <w:suppressAutoHyphens/>
        <w:spacing w:before="120" w:after="120" w:line="360" w:lineRule="auto"/>
        <w:ind w:left="426" w:hanging="568"/>
        <w:jc w:val="both"/>
        <w:rPr>
          <w:rFonts w:cstheme="minorHAnsi"/>
        </w:rPr>
      </w:pPr>
      <w:r w:rsidRPr="001D27C6">
        <w:rPr>
          <w:rFonts w:cstheme="minorHAnsi"/>
        </w:rPr>
        <w:t>Applicants</w:t>
      </w:r>
      <w:r w:rsidR="005D2E2E" w:rsidRPr="001D27C6">
        <w:rPr>
          <w:rFonts w:cstheme="minorHAnsi"/>
        </w:rPr>
        <w:t xml:space="preserve"> shall be required to </w:t>
      </w:r>
      <w:r w:rsidR="004C3DBA" w:rsidRPr="001D27C6">
        <w:rPr>
          <w:rFonts w:cstheme="minorHAnsi"/>
        </w:rPr>
        <w:t xml:space="preserve">present </w:t>
      </w:r>
      <w:r w:rsidR="005D2E2E" w:rsidRPr="001D27C6">
        <w:rPr>
          <w:rFonts w:cstheme="minorHAnsi"/>
        </w:rPr>
        <w:t>to DESFA</w:t>
      </w:r>
      <w:r w:rsidR="00DE1924" w:rsidRPr="001D27C6">
        <w:rPr>
          <w:rFonts w:cstheme="minorHAnsi"/>
        </w:rPr>
        <w:t xml:space="preserve"> </w:t>
      </w:r>
      <w:r w:rsidR="000159BC" w:rsidRPr="001D27C6">
        <w:rPr>
          <w:rFonts w:cstheme="minorHAnsi"/>
        </w:rPr>
        <w:t>alongside with the registration documents</w:t>
      </w:r>
      <w:r w:rsidR="00F474DF" w:rsidRPr="001D27C6">
        <w:rPr>
          <w:rFonts w:cstheme="minorHAnsi"/>
        </w:rPr>
        <w:t>,</w:t>
      </w:r>
      <w:r w:rsidR="006D2A55" w:rsidRPr="001D27C6">
        <w:rPr>
          <w:rFonts w:cstheme="minorHAnsi"/>
        </w:rPr>
        <w:t xml:space="preserve"> </w:t>
      </w:r>
      <w:r w:rsidR="005D2E2E" w:rsidRPr="001D27C6">
        <w:rPr>
          <w:rFonts w:cstheme="minorHAnsi"/>
        </w:rPr>
        <w:t xml:space="preserve">a </w:t>
      </w:r>
      <w:r w:rsidR="002820D6" w:rsidRPr="001D27C6">
        <w:rPr>
          <w:rFonts w:cstheme="minorHAnsi"/>
        </w:rPr>
        <w:t>b</w:t>
      </w:r>
      <w:r w:rsidR="005D2E2E" w:rsidRPr="001D27C6">
        <w:rPr>
          <w:rFonts w:cstheme="minorHAnsi"/>
        </w:rPr>
        <w:t xml:space="preserve">ank </w:t>
      </w:r>
      <w:r w:rsidR="002820D6" w:rsidRPr="001D27C6">
        <w:rPr>
          <w:rFonts w:cstheme="minorHAnsi"/>
        </w:rPr>
        <w:t>g</w:t>
      </w:r>
      <w:r w:rsidR="005D2E2E" w:rsidRPr="001D27C6">
        <w:rPr>
          <w:rFonts w:cstheme="minorHAnsi"/>
        </w:rPr>
        <w:t>uarantee (</w:t>
      </w:r>
      <w:r w:rsidR="000314FB" w:rsidRPr="001D27C6">
        <w:rPr>
          <w:rFonts w:cstheme="minorHAnsi"/>
        </w:rPr>
        <w:t xml:space="preserve">hereinafter the </w:t>
      </w:r>
      <w:r w:rsidR="005D2E2E" w:rsidRPr="001D27C6">
        <w:rPr>
          <w:rFonts w:cstheme="minorHAnsi"/>
        </w:rPr>
        <w:t xml:space="preserve">Binding Bid Guarantee) as described in the Project Proposal </w:t>
      </w:r>
      <w:r w:rsidR="002D02C8" w:rsidRPr="001D27C6">
        <w:rPr>
          <w:rFonts w:cstheme="minorHAnsi"/>
        </w:rPr>
        <w:t xml:space="preserve">and in the form </w:t>
      </w:r>
      <w:r w:rsidR="00F43F53" w:rsidRPr="001D27C6">
        <w:rPr>
          <w:rFonts w:cstheme="minorHAnsi"/>
        </w:rPr>
        <w:t>of</w:t>
      </w:r>
      <w:r w:rsidR="002D02C8" w:rsidRPr="001D27C6">
        <w:rPr>
          <w:rFonts w:cstheme="minorHAnsi"/>
        </w:rPr>
        <w:t xml:space="preserve"> </w:t>
      </w:r>
      <w:r w:rsidR="005D2E2E" w:rsidRPr="001D27C6">
        <w:rPr>
          <w:rFonts w:cstheme="minorHAnsi"/>
        </w:rPr>
        <w:t>Annex III</w:t>
      </w:r>
      <w:r w:rsidR="00FC409C" w:rsidRPr="001D27C6">
        <w:rPr>
          <w:rFonts w:cstheme="minorHAnsi"/>
        </w:rPr>
        <w:t>,</w:t>
      </w:r>
      <w:r w:rsidR="005D2E2E" w:rsidRPr="001D27C6">
        <w:rPr>
          <w:rFonts w:cstheme="minorHAnsi"/>
        </w:rPr>
        <w:t xml:space="preserve"> </w:t>
      </w:r>
      <w:r w:rsidR="000314FB" w:rsidRPr="001D27C6">
        <w:rPr>
          <w:rFonts w:cstheme="minorHAnsi"/>
        </w:rPr>
        <w:t xml:space="preserve">calculated </w:t>
      </w:r>
      <w:r w:rsidR="00254A68" w:rsidRPr="001D27C6">
        <w:rPr>
          <w:rFonts w:cstheme="minorHAnsi"/>
        </w:rPr>
        <w:t xml:space="preserve">in accordance </w:t>
      </w:r>
      <w:proofErr w:type="gramStart"/>
      <w:r w:rsidR="00254A68" w:rsidRPr="001D27C6">
        <w:rPr>
          <w:rFonts w:cstheme="minorHAnsi"/>
        </w:rPr>
        <w:t>to</w:t>
      </w:r>
      <w:proofErr w:type="gramEnd"/>
      <w:r w:rsidR="00254A68" w:rsidRPr="001D27C6">
        <w:rPr>
          <w:rFonts w:cstheme="minorHAnsi"/>
        </w:rPr>
        <w:t xml:space="preserve"> </w:t>
      </w:r>
      <w:r w:rsidR="005D2E2E" w:rsidRPr="001D27C6">
        <w:rPr>
          <w:rFonts w:cstheme="minorHAnsi"/>
        </w:rPr>
        <w:t>Annex V.</w:t>
      </w:r>
      <w:r w:rsidR="001A4276" w:rsidRPr="001D27C6">
        <w:rPr>
          <w:rFonts w:cstheme="minorHAnsi"/>
        </w:rPr>
        <w:t xml:space="preserve"> In c</w:t>
      </w:r>
      <w:r w:rsidR="0003782A" w:rsidRPr="001D27C6">
        <w:rPr>
          <w:rFonts w:cstheme="minorHAnsi"/>
        </w:rPr>
        <w:t xml:space="preserve">ase the </w:t>
      </w:r>
      <w:r w:rsidR="00FC409C" w:rsidRPr="001D27C6">
        <w:rPr>
          <w:rFonts w:cstheme="minorHAnsi"/>
        </w:rPr>
        <w:t>Binding Bid Guarantee</w:t>
      </w:r>
      <w:r w:rsidR="0003782A" w:rsidRPr="001D27C6">
        <w:rPr>
          <w:rFonts w:cstheme="minorHAnsi"/>
        </w:rPr>
        <w:t xml:space="preserve"> </w:t>
      </w:r>
      <w:r w:rsidR="00041F19" w:rsidRPr="001D27C6">
        <w:rPr>
          <w:rFonts w:cstheme="minorHAnsi"/>
        </w:rPr>
        <w:t>does not com</w:t>
      </w:r>
      <w:r w:rsidR="00D45B47" w:rsidRPr="001D27C6">
        <w:rPr>
          <w:rFonts w:cstheme="minorHAnsi"/>
        </w:rPr>
        <w:t>p</w:t>
      </w:r>
      <w:r w:rsidR="00041F19" w:rsidRPr="001D27C6">
        <w:rPr>
          <w:rFonts w:cstheme="minorHAnsi"/>
        </w:rPr>
        <w:t>ly</w:t>
      </w:r>
      <w:r w:rsidR="00D45B47" w:rsidRPr="001D27C6">
        <w:rPr>
          <w:rFonts w:cstheme="minorHAnsi"/>
        </w:rPr>
        <w:t xml:space="preserve"> with the terms of the Project Proposal and</w:t>
      </w:r>
      <w:r w:rsidR="00B2095D" w:rsidRPr="001D27C6">
        <w:rPr>
          <w:rFonts w:cstheme="minorHAnsi"/>
        </w:rPr>
        <w:t xml:space="preserve">/or </w:t>
      </w:r>
      <w:r w:rsidR="006370D8" w:rsidRPr="001D27C6">
        <w:rPr>
          <w:rFonts w:cstheme="minorHAnsi"/>
        </w:rPr>
        <w:t xml:space="preserve">the terms </w:t>
      </w:r>
      <w:r w:rsidR="00B2095D" w:rsidRPr="001D27C6">
        <w:rPr>
          <w:rFonts w:cstheme="minorHAnsi"/>
        </w:rPr>
        <w:t>of present notice or</w:t>
      </w:r>
      <w:r w:rsidR="00041F19" w:rsidRPr="001D27C6">
        <w:rPr>
          <w:rFonts w:cstheme="minorHAnsi"/>
        </w:rPr>
        <w:t xml:space="preserve"> </w:t>
      </w:r>
      <w:r w:rsidR="0003782A" w:rsidRPr="001D27C6">
        <w:rPr>
          <w:rFonts w:cstheme="minorHAnsi"/>
        </w:rPr>
        <w:t>is not valid</w:t>
      </w:r>
      <w:r w:rsidR="00A238B9" w:rsidRPr="001D27C6">
        <w:rPr>
          <w:rFonts w:cstheme="minorHAnsi"/>
        </w:rPr>
        <w:t xml:space="preserve">, </w:t>
      </w:r>
      <w:r w:rsidR="000314FB" w:rsidRPr="001D27C6">
        <w:rPr>
          <w:rFonts w:cstheme="minorHAnsi"/>
        </w:rPr>
        <w:t xml:space="preserve">Applicant </w:t>
      </w:r>
      <w:r w:rsidR="000C4C42" w:rsidRPr="001D27C6">
        <w:rPr>
          <w:rFonts w:cstheme="minorHAnsi"/>
        </w:rPr>
        <w:t xml:space="preserve">shall not be eligible to participate to the </w:t>
      </w:r>
      <w:r w:rsidR="00AF2FDB" w:rsidRPr="001D27C6">
        <w:rPr>
          <w:rFonts w:cstheme="minorHAnsi"/>
        </w:rPr>
        <w:t>Bi</w:t>
      </w:r>
      <w:r w:rsidR="00010708" w:rsidRPr="001D27C6">
        <w:rPr>
          <w:rFonts w:cstheme="minorHAnsi"/>
        </w:rPr>
        <w:t>nd</w:t>
      </w:r>
      <w:r w:rsidR="00AF2FDB" w:rsidRPr="001D27C6">
        <w:rPr>
          <w:rFonts w:cstheme="minorHAnsi"/>
        </w:rPr>
        <w:t xml:space="preserve">ing </w:t>
      </w:r>
      <w:r w:rsidR="00010708" w:rsidRPr="001D27C6">
        <w:rPr>
          <w:rFonts w:cstheme="minorHAnsi"/>
        </w:rPr>
        <w:t xml:space="preserve">Bidding </w:t>
      </w:r>
      <w:r w:rsidR="000C4C42" w:rsidRPr="001D27C6">
        <w:rPr>
          <w:rFonts w:cstheme="minorHAnsi"/>
        </w:rPr>
        <w:t>Phase.</w:t>
      </w:r>
      <w:r w:rsidR="00FC409C" w:rsidRPr="001D27C6">
        <w:rPr>
          <w:rFonts w:cstheme="minorHAnsi"/>
        </w:rPr>
        <w:t xml:space="preserve"> </w:t>
      </w:r>
      <w:r w:rsidR="00BF3D74" w:rsidRPr="001D27C6">
        <w:rPr>
          <w:rFonts w:cstheme="minorHAnsi"/>
        </w:rPr>
        <w:t xml:space="preserve">Applicants having received </w:t>
      </w:r>
      <w:r w:rsidR="00D21069" w:rsidRPr="001D27C6">
        <w:rPr>
          <w:rFonts w:cstheme="minorHAnsi"/>
        </w:rPr>
        <w:t xml:space="preserve">by DESFA </w:t>
      </w:r>
      <w:r w:rsidR="00BF3D74" w:rsidRPr="001D27C6">
        <w:rPr>
          <w:rFonts w:cstheme="minorHAnsi"/>
        </w:rPr>
        <w:t>a notification confirming completeness and the validity of the documents submitted</w:t>
      </w:r>
      <w:r w:rsidR="00BF3D74" w:rsidRPr="001D27C6" w:rsidDel="000C4C42">
        <w:rPr>
          <w:rFonts w:cstheme="minorHAnsi"/>
        </w:rPr>
        <w:t xml:space="preserve"> </w:t>
      </w:r>
      <w:r w:rsidR="004C3DBA" w:rsidRPr="001D27C6">
        <w:rPr>
          <w:rFonts w:cstheme="minorHAnsi"/>
        </w:rPr>
        <w:t xml:space="preserve">and having </w:t>
      </w:r>
      <w:r w:rsidR="00D21069" w:rsidRPr="001D27C6">
        <w:rPr>
          <w:rFonts w:cstheme="minorHAnsi"/>
        </w:rPr>
        <w:t xml:space="preserve">timely </w:t>
      </w:r>
      <w:r w:rsidR="004C3DBA" w:rsidRPr="001D27C6">
        <w:rPr>
          <w:rFonts w:cstheme="minorHAnsi"/>
        </w:rPr>
        <w:t xml:space="preserve">presented </w:t>
      </w:r>
      <w:r w:rsidR="00D21069" w:rsidRPr="001D27C6">
        <w:rPr>
          <w:rFonts w:cstheme="minorHAnsi"/>
        </w:rPr>
        <w:t xml:space="preserve">to DESFA </w:t>
      </w:r>
      <w:r w:rsidR="004C3DBA" w:rsidRPr="001D27C6">
        <w:rPr>
          <w:rFonts w:cstheme="minorHAnsi"/>
        </w:rPr>
        <w:t xml:space="preserve">the </w:t>
      </w:r>
      <w:r w:rsidR="00D21069" w:rsidRPr="001D27C6">
        <w:rPr>
          <w:rFonts w:cstheme="minorHAnsi"/>
        </w:rPr>
        <w:t xml:space="preserve">required Binding Bid Guarantee shall be eligible to participate to the </w:t>
      </w:r>
      <w:r w:rsidR="00D251AE" w:rsidRPr="001D27C6">
        <w:rPr>
          <w:rFonts w:cstheme="minorHAnsi"/>
        </w:rPr>
        <w:t xml:space="preserve">Binding </w:t>
      </w:r>
      <w:r w:rsidR="00D21069" w:rsidRPr="001D27C6">
        <w:rPr>
          <w:rFonts w:cstheme="minorHAnsi"/>
        </w:rPr>
        <w:t>Bi</w:t>
      </w:r>
      <w:r w:rsidR="00D251AE" w:rsidRPr="001D27C6">
        <w:rPr>
          <w:rFonts w:cstheme="minorHAnsi"/>
        </w:rPr>
        <w:t>dd</w:t>
      </w:r>
      <w:r w:rsidR="00D21069" w:rsidRPr="001D27C6">
        <w:rPr>
          <w:rFonts w:cstheme="minorHAnsi"/>
        </w:rPr>
        <w:t>ing Phase.</w:t>
      </w:r>
      <w:r w:rsidR="00E0567B">
        <w:rPr>
          <w:rFonts w:cstheme="minorHAnsi"/>
        </w:rPr>
        <w:t xml:space="preserve"> </w:t>
      </w:r>
      <w:r w:rsidR="00A8547D">
        <w:rPr>
          <w:rFonts w:cstheme="minorHAnsi"/>
        </w:rPr>
        <w:t xml:space="preserve">By </w:t>
      </w:r>
      <w:r w:rsidR="00E0567B">
        <w:rPr>
          <w:rFonts w:cstheme="minorHAnsi"/>
        </w:rPr>
        <w:t xml:space="preserve">the end of the </w:t>
      </w:r>
      <w:r w:rsidR="00E0567B" w:rsidRPr="00284F1A">
        <w:rPr>
          <w:rFonts w:cstheme="minorHAnsi"/>
        </w:rPr>
        <w:t>Information Phase</w:t>
      </w:r>
      <w:r w:rsidR="00E0567B">
        <w:rPr>
          <w:rFonts w:cstheme="minorHAnsi"/>
        </w:rPr>
        <w:t xml:space="preserve">, </w:t>
      </w:r>
      <w:r w:rsidR="00E0567B" w:rsidRPr="001D27C6">
        <w:rPr>
          <w:rFonts w:cstheme="minorHAnsi"/>
        </w:rPr>
        <w:t>DESFA shall sign and return the Non-Disclosure Agreements to all Applicants who have not been excluded from the incremental capacity process.</w:t>
      </w:r>
    </w:p>
    <w:p w14:paraId="64A57388" w14:textId="77777777" w:rsidR="00281B93" w:rsidRPr="001D27C6" w:rsidRDefault="00281B93" w:rsidP="00837724">
      <w:pPr>
        <w:pStyle w:val="ListParagraph"/>
        <w:widowControl w:val="0"/>
        <w:suppressAutoHyphens/>
        <w:spacing w:before="120" w:after="120" w:line="360" w:lineRule="auto"/>
        <w:ind w:left="426"/>
        <w:jc w:val="both"/>
        <w:rPr>
          <w:rFonts w:cstheme="minorHAnsi"/>
        </w:rPr>
      </w:pPr>
    </w:p>
    <w:p w14:paraId="3A4E1A5F" w14:textId="77777777" w:rsidR="00D21069" w:rsidRPr="001D27C6" w:rsidRDefault="00D21069" w:rsidP="00837724">
      <w:pPr>
        <w:pStyle w:val="ListParagraph"/>
        <w:widowControl w:val="0"/>
        <w:suppressAutoHyphens/>
        <w:spacing w:before="120" w:after="120" w:line="360" w:lineRule="auto"/>
        <w:ind w:left="426"/>
        <w:jc w:val="both"/>
        <w:rPr>
          <w:rFonts w:cstheme="minorHAnsi"/>
          <w:b/>
        </w:rPr>
      </w:pPr>
      <w:r w:rsidRPr="001D27C6">
        <w:rPr>
          <w:rFonts w:cstheme="minorHAnsi"/>
          <w:b/>
        </w:rPr>
        <w:t>Bi</w:t>
      </w:r>
      <w:r w:rsidR="00AC762E">
        <w:rPr>
          <w:rFonts w:cstheme="minorHAnsi"/>
          <w:b/>
        </w:rPr>
        <w:t>n</w:t>
      </w:r>
      <w:r w:rsidRPr="001D27C6">
        <w:rPr>
          <w:rFonts w:cstheme="minorHAnsi"/>
          <w:b/>
        </w:rPr>
        <w:t xml:space="preserve">ding </w:t>
      </w:r>
      <w:r w:rsidR="00010708" w:rsidRPr="001D27C6">
        <w:rPr>
          <w:rFonts w:cstheme="minorHAnsi"/>
          <w:b/>
        </w:rPr>
        <w:t xml:space="preserve">Bidding </w:t>
      </w:r>
      <w:r w:rsidRPr="001D27C6">
        <w:rPr>
          <w:rFonts w:cstheme="minorHAnsi"/>
          <w:b/>
        </w:rPr>
        <w:t>Phase</w:t>
      </w:r>
    </w:p>
    <w:p w14:paraId="615692EA" w14:textId="77777777" w:rsidR="0031085B" w:rsidRPr="001D27C6" w:rsidRDefault="00F05AE4">
      <w:pPr>
        <w:pStyle w:val="ListParagraph"/>
        <w:widowControl w:val="0"/>
        <w:numPr>
          <w:ilvl w:val="1"/>
          <w:numId w:val="20"/>
        </w:numPr>
        <w:suppressAutoHyphens/>
        <w:spacing w:before="120" w:after="120" w:line="360" w:lineRule="auto"/>
        <w:ind w:left="426" w:hanging="568"/>
        <w:jc w:val="both"/>
        <w:rPr>
          <w:rFonts w:cstheme="minorHAnsi"/>
        </w:rPr>
      </w:pPr>
      <w:r w:rsidRPr="001D27C6">
        <w:rPr>
          <w:rFonts w:cstheme="minorHAnsi"/>
        </w:rPr>
        <w:t>Applicants</w:t>
      </w:r>
      <w:r w:rsidR="00475E79" w:rsidRPr="001D27C6">
        <w:rPr>
          <w:rFonts w:cstheme="minorHAnsi"/>
        </w:rPr>
        <w:t xml:space="preserve"> </w:t>
      </w:r>
      <w:r w:rsidRPr="001D27C6">
        <w:rPr>
          <w:rFonts w:cstheme="minorHAnsi"/>
        </w:rPr>
        <w:t xml:space="preserve">that are found </w:t>
      </w:r>
      <w:r w:rsidR="00475E79" w:rsidRPr="001D27C6">
        <w:rPr>
          <w:rFonts w:cstheme="minorHAnsi"/>
        </w:rPr>
        <w:t xml:space="preserve">eligible to participate in the </w:t>
      </w:r>
      <w:r w:rsidR="007B7F42">
        <w:rPr>
          <w:rFonts w:cstheme="minorHAnsi"/>
        </w:rPr>
        <w:t xml:space="preserve">Binding </w:t>
      </w:r>
      <w:r w:rsidR="00475E79" w:rsidRPr="001D27C6">
        <w:rPr>
          <w:rFonts w:cstheme="minorHAnsi"/>
        </w:rPr>
        <w:t>Bidding Phase</w:t>
      </w:r>
      <w:r w:rsidR="00A22EFB" w:rsidRPr="001D27C6">
        <w:rPr>
          <w:rFonts w:cstheme="minorHAnsi"/>
        </w:rPr>
        <w:t xml:space="preserve"> (the Participant)</w:t>
      </w:r>
      <w:r w:rsidR="00475E79" w:rsidRPr="001D27C6">
        <w:rPr>
          <w:rFonts w:cstheme="minorHAnsi"/>
        </w:rPr>
        <w:t xml:space="preserve"> shall submit </w:t>
      </w:r>
      <w:r w:rsidR="00EB1DF2" w:rsidRPr="001D27C6">
        <w:rPr>
          <w:rFonts w:cstheme="minorHAnsi"/>
        </w:rPr>
        <w:t xml:space="preserve">to DESFA </w:t>
      </w:r>
      <w:r w:rsidR="00475E79" w:rsidRPr="001D27C6">
        <w:rPr>
          <w:rFonts w:cstheme="minorHAnsi"/>
        </w:rPr>
        <w:t>the Binding Bid Form</w:t>
      </w:r>
      <w:r w:rsidR="002B6978" w:rsidRPr="001D27C6">
        <w:rPr>
          <w:rFonts w:cstheme="minorHAnsi"/>
        </w:rPr>
        <w:t>,</w:t>
      </w:r>
      <w:r w:rsidR="00475E79" w:rsidRPr="001D27C6">
        <w:rPr>
          <w:rFonts w:cstheme="minorHAnsi"/>
        </w:rPr>
        <w:t xml:space="preserve"> </w:t>
      </w:r>
      <w:bookmarkStart w:id="40" w:name="_Hlk71898318"/>
      <w:r w:rsidR="004B0CB1" w:rsidRPr="001D27C6">
        <w:rPr>
          <w:rFonts w:cstheme="minorHAnsi"/>
        </w:rPr>
        <w:t>which is included</w:t>
      </w:r>
      <w:r w:rsidR="00BD5E1A">
        <w:rPr>
          <w:rFonts w:cstheme="minorHAnsi"/>
        </w:rPr>
        <w:t xml:space="preserve"> in</w:t>
      </w:r>
      <w:r w:rsidR="004B0CB1" w:rsidRPr="001D27C6">
        <w:rPr>
          <w:rFonts w:cstheme="minorHAnsi"/>
        </w:rPr>
        <w:t xml:space="preserve"> the</w:t>
      </w:r>
      <w:r w:rsidR="0061439D" w:rsidRPr="001D27C6">
        <w:rPr>
          <w:rFonts w:cstheme="minorHAnsi"/>
        </w:rPr>
        <w:t xml:space="preserve"> </w:t>
      </w:r>
      <w:r w:rsidR="001D0BF7" w:rsidRPr="001D27C6">
        <w:rPr>
          <w:rFonts w:cstheme="minorHAnsi"/>
        </w:rPr>
        <w:t>B</w:t>
      </w:r>
      <w:r w:rsidR="0061439D" w:rsidRPr="001D27C6">
        <w:rPr>
          <w:rFonts w:cstheme="minorHAnsi"/>
        </w:rPr>
        <w:t xml:space="preserve">inding </w:t>
      </w:r>
      <w:r w:rsidR="001E1D86" w:rsidRPr="001D27C6">
        <w:rPr>
          <w:rFonts w:cstheme="minorHAnsi"/>
        </w:rPr>
        <w:t>Bid</w:t>
      </w:r>
      <w:bookmarkEnd w:id="40"/>
      <w:r w:rsidR="002B6978" w:rsidRPr="001D27C6">
        <w:rPr>
          <w:rFonts w:cstheme="minorHAnsi"/>
        </w:rPr>
        <w:t xml:space="preserve">, </w:t>
      </w:r>
      <w:r w:rsidR="00FD77B9" w:rsidRPr="001D27C6">
        <w:rPr>
          <w:rFonts w:cstheme="minorHAnsi"/>
        </w:rPr>
        <w:t>in the form of</w:t>
      </w:r>
      <w:r w:rsidR="002B6978" w:rsidRPr="001D27C6">
        <w:rPr>
          <w:rFonts w:cstheme="minorHAnsi"/>
        </w:rPr>
        <w:t xml:space="preserve"> Annex </w:t>
      </w:r>
      <w:r w:rsidR="002B6978" w:rsidRPr="001D27C6">
        <w:rPr>
          <w:rFonts w:cstheme="minorHAnsi"/>
        </w:rPr>
        <w:lastRenderedPageBreak/>
        <w:t>II</w:t>
      </w:r>
      <w:r w:rsidR="0061439D" w:rsidRPr="001D27C6">
        <w:rPr>
          <w:rFonts w:cstheme="minorHAnsi"/>
        </w:rPr>
        <w:t xml:space="preserve">, </w:t>
      </w:r>
      <w:r w:rsidR="00475E79" w:rsidRPr="001D27C6">
        <w:rPr>
          <w:rFonts w:cstheme="minorHAnsi"/>
        </w:rPr>
        <w:t>duly completed and signed</w:t>
      </w:r>
      <w:r w:rsidR="0031085B" w:rsidRPr="001D27C6">
        <w:rPr>
          <w:rFonts w:cstheme="minorHAnsi"/>
        </w:rPr>
        <w:t xml:space="preserve"> by registered mail, or courier</w:t>
      </w:r>
      <w:r w:rsidR="006708DF" w:rsidRPr="001D27C6">
        <w:rPr>
          <w:rFonts w:cstheme="minorHAnsi"/>
        </w:rPr>
        <w:t xml:space="preserve"> according to Article 5.18</w:t>
      </w:r>
      <w:r w:rsidR="00CB0BAC" w:rsidRPr="001D27C6">
        <w:rPr>
          <w:rFonts w:cstheme="minorHAnsi"/>
        </w:rPr>
        <w:t xml:space="preserve"> to the address specified in Article 5.19</w:t>
      </w:r>
      <w:r w:rsidR="0031085B" w:rsidRPr="001D27C6">
        <w:rPr>
          <w:rFonts w:cstheme="minorHAnsi"/>
        </w:rPr>
        <w:t xml:space="preserve">, </w:t>
      </w:r>
      <w:r w:rsidR="003F020B" w:rsidRPr="001D27C6">
        <w:rPr>
          <w:rFonts w:cstheme="minorHAnsi"/>
        </w:rPr>
        <w:t xml:space="preserve">which </w:t>
      </w:r>
      <w:r w:rsidR="00F936A1" w:rsidRPr="001D27C6">
        <w:rPr>
          <w:rFonts w:cstheme="minorHAnsi"/>
        </w:rPr>
        <w:t xml:space="preserve">should be </w:t>
      </w:r>
      <w:r w:rsidR="00C83EA7" w:rsidRPr="001D27C6">
        <w:rPr>
          <w:rFonts w:cstheme="minorHAnsi"/>
        </w:rPr>
        <w:t xml:space="preserve">received </w:t>
      </w:r>
      <w:r w:rsidR="00F936A1" w:rsidRPr="001D27C6">
        <w:rPr>
          <w:rFonts w:cstheme="minorHAnsi"/>
        </w:rPr>
        <w:t>up until the</w:t>
      </w:r>
      <w:r w:rsidR="0031085B" w:rsidRPr="001D27C6">
        <w:rPr>
          <w:rFonts w:cstheme="minorHAnsi"/>
        </w:rPr>
        <w:t xml:space="preserve"> </w:t>
      </w:r>
      <w:r w:rsidR="005D6096">
        <w:rPr>
          <w:rFonts w:cstheme="minorHAnsi"/>
        </w:rPr>
        <w:t xml:space="preserve">end </w:t>
      </w:r>
      <w:r w:rsidR="004E1A49">
        <w:rPr>
          <w:rFonts w:cstheme="minorHAnsi"/>
        </w:rPr>
        <w:t xml:space="preserve">of the </w:t>
      </w:r>
      <w:r w:rsidR="004E1A49" w:rsidRPr="001D27C6">
        <w:rPr>
          <w:rFonts w:cstheme="minorHAnsi"/>
        </w:rPr>
        <w:t>Bid Submission Window</w:t>
      </w:r>
      <w:r w:rsidR="004E1A49" w:rsidRPr="001D27C6" w:rsidDel="004E1A49">
        <w:rPr>
          <w:rFonts w:cstheme="minorHAnsi"/>
        </w:rPr>
        <w:t xml:space="preserve"> </w:t>
      </w:r>
      <w:r w:rsidR="00663F7F" w:rsidRPr="001D27C6">
        <w:rPr>
          <w:rFonts w:cstheme="minorHAnsi"/>
        </w:rPr>
        <w:t>specified in Article 5.</w:t>
      </w:r>
      <w:r w:rsidR="00582BAE" w:rsidRPr="001D27C6">
        <w:rPr>
          <w:rFonts w:cstheme="minorHAnsi"/>
        </w:rPr>
        <w:t>15</w:t>
      </w:r>
      <w:r w:rsidR="00A66248" w:rsidRPr="001D27C6">
        <w:rPr>
          <w:rFonts w:cstheme="minorHAnsi"/>
        </w:rPr>
        <w:t>.</w:t>
      </w:r>
      <w:r w:rsidR="0031085B" w:rsidRPr="001D27C6">
        <w:rPr>
          <w:rFonts w:cstheme="minorHAnsi"/>
        </w:rPr>
        <w:t xml:space="preserve"> After the </w:t>
      </w:r>
      <w:r w:rsidR="00A579A9">
        <w:rPr>
          <w:rFonts w:cstheme="minorHAnsi"/>
        </w:rPr>
        <w:t xml:space="preserve">expiration of the </w:t>
      </w:r>
      <w:r w:rsidR="00A579A9" w:rsidRPr="001D27C6">
        <w:rPr>
          <w:rFonts w:cstheme="minorHAnsi"/>
        </w:rPr>
        <w:t>Bid Submission Window</w:t>
      </w:r>
      <w:r w:rsidR="0031085B" w:rsidRPr="001D27C6">
        <w:rPr>
          <w:rFonts w:cstheme="minorHAnsi"/>
        </w:rPr>
        <w:t xml:space="preserve">, no additional </w:t>
      </w:r>
      <w:r w:rsidR="003E648B" w:rsidRPr="001D27C6">
        <w:rPr>
          <w:rFonts w:cstheme="minorHAnsi"/>
        </w:rPr>
        <w:t xml:space="preserve">bids </w:t>
      </w:r>
      <w:r w:rsidR="0031085B" w:rsidRPr="001D27C6">
        <w:rPr>
          <w:rFonts w:cstheme="minorHAnsi"/>
        </w:rPr>
        <w:t>shall be accepted for any reason.</w:t>
      </w:r>
      <w:r w:rsidR="0037091F" w:rsidRPr="001D27C6">
        <w:rPr>
          <w:rFonts w:cstheme="minorHAnsi"/>
        </w:rPr>
        <w:t xml:space="preserve"> </w:t>
      </w:r>
      <w:r w:rsidR="00967702" w:rsidRPr="001D27C6">
        <w:rPr>
          <w:rFonts w:cstheme="minorHAnsi"/>
        </w:rPr>
        <w:t xml:space="preserve">The deadline for submitting the Binding Bid Form shall </w:t>
      </w:r>
      <w:proofErr w:type="gramStart"/>
      <w:r w:rsidR="00967702" w:rsidRPr="001D27C6">
        <w:rPr>
          <w:rFonts w:cstheme="minorHAnsi"/>
        </w:rPr>
        <w:t>take into account</w:t>
      </w:r>
      <w:proofErr w:type="gramEnd"/>
      <w:r w:rsidR="00967702" w:rsidRPr="001D27C6">
        <w:rPr>
          <w:rFonts w:cstheme="minorHAnsi"/>
        </w:rPr>
        <w:t xml:space="preserve"> the date and time of its submission in the DESFA Protocol and not the date of sending the Binding Bid Form. </w:t>
      </w:r>
      <w:r w:rsidR="007D601C" w:rsidRPr="001D27C6">
        <w:rPr>
          <w:rFonts w:cstheme="minorHAnsi"/>
        </w:rPr>
        <w:t xml:space="preserve">In case of submission by courier, DESFA is not responsible for the timely submission of the Binding </w:t>
      </w:r>
      <w:r w:rsidR="00C46D4B" w:rsidRPr="001D27C6">
        <w:rPr>
          <w:rFonts w:cstheme="minorHAnsi"/>
        </w:rPr>
        <w:t>Bid Form</w:t>
      </w:r>
      <w:r w:rsidR="007D601C" w:rsidRPr="001D27C6">
        <w:rPr>
          <w:rFonts w:cstheme="minorHAnsi"/>
        </w:rPr>
        <w:t xml:space="preserve"> or for the content of the envelopes.</w:t>
      </w:r>
    </w:p>
    <w:p w14:paraId="514F0422" w14:textId="46F4D24F" w:rsidR="0031085B" w:rsidRPr="001D27C6" w:rsidRDefault="0031085B">
      <w:pPr>
        <w:pStyle w:val="ListParagraph"/>
        <w:widowControl w:val="0"/>
        <w:numPr>
          <w:ilvl w:val="1"/>
          <w:numId w:val="20"/>
        </w:numPr>
        <w:suppressAutoHyphens/>
        <w:spacing w:before="120" w:after="120" w:line="360" w:lineRule="auto"/>
        <w:ind w:left="426" w:hanging="568"/>
        <w:jc w:val="both"/>
        <w:rPr>
          <w:rFonts w:cstheme="minorHAnsi"/>
        </w:rPr>
      </w:pPr>
      <w:r w:rsidRPr="001D27C6">
        <w:rPr>
          <w:rFonts w:cstheme="minorHAnsi"/>
        </w:rPr>
        <w:t xml:space="preserve">The </w:t>
      </w:r>
      <w:r w:rsidR="00A579A9" w:rsidRPr="001D27C6">
        <w:rPr>
          <w:rFonts w:cstheme="minorHAnsi"/>
        </w:rPr>
        <w:t>Bid Submission Window</w:t>
      </w:r>
      <w:r w:rsidR="00A579A9" w:rsidRPr="001D27C6" w:rsidDel="00EA70A1">
        <w:rPr>
          <w:rFonts w:cstheme="minorHAnsi"/>
        </w:rPr>
        <w:t xml:space="preserve"> </w:t>
      </w:r>
      <w:r w:rsidRPr="001D27C6">
        <w:rPr>
          <w:rFonts w:cstheme="minorHAnsi"/>
        </w:rPr>
        <w:t xml:space="preserve">is set to </w:t>
      </w:r>
      <w:r w:rsidR="002D4FF3">
        <w:rPr>
          <w:rFonts w:cstheme="minorHAnsi"/>
        </w:rPr>
        <w:t>open on 09</w:t>
      </w:r>
      <w:r w:rsidR="002D4FF3" w:rsidRPr="001D27C6">
        <w:rPr>
          <w:rFonts w:cstheme="minorHAnsi"/>
        </w:rPr>
        <w:t>:</w:t>
      </w:r>
      <w:r w:rsidR="002D4FF3">
        <w:rPr>
          <w:rFonts w:cstheme="minorHAnsi"/>
        </w:rPr>
        <w:t>0</w:t>
      </w:r>
      <w:r w:rsidR="002D4FF3" w:rsidRPr="001D27C6">
        <w:rPr>
          <w:rFonts w:cstheme="minorHAnsi"/>
        </w:rPr>
        <w:t>0, local time (CET +</w:t>
      </w:r>
      <w:r w:rsidR="002D4FF3">
        <w:rPr>
          <w:rFonts w:cstheme="minorHAnsi"/>
        </w:rPr>
        <w:t xml:space="preserve"> </w:t>
      </w:r>
      <w:r w:rsidR="002D4FF3" w:rsidRPr="001D27C6">
        <w:rPr>
          <w:rFonts w:cstheme="minorHAnsi"/>
        </w:rPr>
        <w:t xml:space="preserve">1), of the </w:t>
      </w:r>
      <w:r w:rsidR="002D4FF3">
        <w:rPr>
          <w:rFonts w:cstheme="minorHAnsi"/>
        </w:rPr>
        <w:t>1</w:t>
      </w:r>
      <w:r w:rsidR="00B20822">
        <w:rPr>
          <w:rFonts w:cstheme="minorHAnsi"/>
        </w:rPr>
        <w:t>6</w:t>
      </w:r>
      <w:r w:rsidR="002D4FF3" w:rsidRPr="001D27C6">
        <w:rPr>
          <w:rFonts w:cstheme="minorHAnsi"/>
          <w:vertAlign w:val="superscript"/>
        </w:rPr>
        <w:t>th</w:t>
      </w:r>
      <w:r w:rsidR="002D4FF3" w:rsidRPr="001D27C6">
        <w:rPr>
          <w:rFonts w:cstheme="minorHAnsi"/>
        </w:rPr>
        <w:t xml:space="preserve"> of J</w:t>
      </w:r>
      <w:r w:rsidR="00B20822">
        <w:rPr>
          <w:rFonts w:cstheme="minorHAnsi"/>
        </w:rPr>
        <w:t>anuary</w:t>
      </w:r>
      <w:r w:rsidR="002D4FF3" w:rsidRPr="001D27C6">
        <w:rPr>
          <w:rFonts w:cstheme="minorHAnsi"/>
        </w:rPr>
        <w:t xml:space="preserve"> 202</w:t>
      </w:r>
      <w:r w:rsidR="005E62E8">
        <w:rPr>
          <w:rFonts w:cstheme="minorHAnsi"/>
        </w:rPr>
        <w:t>3</w:t>
      </w:r>
      <w:r w:rsidR="002D4FF3">
        <w:rPr>
          <w:rFonts w:cstheme="minorHAnsi"/>
        </w:rPr>
        <w:t xml:space="preserve"> and to expire on</w:t>
      </w:r>
      <w:r w:rsidRPr="001D27C6">
        <w:rPr>
          <w:rFonts w:cstheme="minorHAnsi"/>
        </w:rPr>
        <w:t xml:space="preserve"> </w:t>
      </w:r>
      <w:r w:rsidR="007224E2" w:rsidRPr="001D27C6">
        <w:rPr>
          <w:rFonts w:cstheme="minorHAnsi"/>
        </w:rPr>
        <w:t>13:30</w:t>
      </w:r>
      <w:r w:rsidRPr="001D27C6">
        <w:rPr>
          <w:rFonts w:cstheme="minorHAnsi"/>
        </w:rPr>
        <w:t>, local time (CET +</w:t>
      </w:r>
      <w:r w:rsidR="00E447C9">
        <w:rPr>
          <w:rFonts w:cstheme="minorHAnsi"/>
        </w:rPr>
        <w:t xml:space="preserve"> </w:t>
      </w:r>
      <w:r w:rsidRPr="001D27C6">
        <w:rPr>
          <w:rFonts w:cstheme="minorHAnsi"/>
        </w:rPr>
        <w:t>1), o</w:t>
      </w:r>
      <w:r w:rsidR="009113AA" w:rsidRPr="001D27C6">
        <w:rPr>
          <w:rFonts w:cstheme="minorHAnsi"/>
        </w:rPr>
        <w:t xml:space="preserve">f </w:t>
      </w:r>
      <w:r w:rsidR="001B3573">
        <w:rPr>
          <w:rFonts w:cstheme="minorHAnsi"/>
        </w:rPr>
        <w:t xml:space="preserve">Friday </w:t>
      </w:r>
      <w:r w:rsidR="009113AA" w:rsidRPr="001D27C6">
        <w:rPr>
          <w:rFonts w:cstheme="minorHAnsi"/>
        </w:rPr>
        <w:t xml:space="preserve">the </w:t>
      </w:r>
      <w:r w:rsidR="00C213E2" w:rsidRPr="003A3341">
        <w:rPr>
          <w:rFonts w:cstheme="minorHAnsi"/>
        </w:rPr>
        <w:t>20</w:t>
      </w:r>
      <w:r w:rsidR="00C213E2" w:rsidRPr="003A3341">
        <w:rPr>
          <w:rFonts w:cstheme="minorHAnsi"/>
          <w:vertAlign w:val="superscript"/>
        </w:rPr>
        <w:t>th</w:t>
      </w:r>
      <w:r w:rsidR="00C213E2">
        <w:rPr>
          <w:rFonts w:cstheme="minorHAnsi"/>
        </w:rPr>
        <w:t xml:space="preserve"> </w:t>
      </w:r>
      <w:r w:rsidR="009113AA" w:rsidRPr="001D27C6">
        <w:rPr>
          <w:rFonts w:cstheme="minorHAnsi"/>
        </w:rPr>
        <w:t>of</w:t>
      </w:r>
      <w:r w:rsidRPr="001D27C6">
        <w:rPr>
          <w:rFonts w:cstheme="minorHAnsi"/>
        </w:rPr>
        <w:t xml:space="preserve"> J</w:t>
      </w:r>
      <w:r w:rsidR="003413D9">
        <w:rPr>
          <w:rFonts w:cstheme="minorHAnsi"/>
        </w:rPr>
        <w:t>anuar</w:t>
      </w:r>
      <w:r w:rsidRPr="001D27C6">
        <w:rPr>
          <w:rFonts w:cstheme="minorHAnsi"/>
        </w:rPr>
        <w:t>y 202</w:t>
      </w:r>
      <w:r w:rsidR="00226E49">
        <w:rPr>
          <w:rFonts w:cstheme="minorHAnsi"/>
        </w:rPr>
        <w:t>3</w:t>
      </w:r>
      <w:r w:rsidRPr="001D27C6">
        <w:rPr>
          <w:rFonts w:cstheme="minorHAnsi"/>
        </w:rPr>
        <w:t xml:space="preserve">. </w:t>
      </w:r>
    </w:p>
    <w:p w14:paraId="5F5E601F" w14:textId="77777777" w:rsidR="00944002" w:rsidRPr="001D27C6" w:rsidRDefault="00AE07CD">
      <w:pPr>
        <w:pStyle w:val="ListParagraph"/>
        <w:widowControl w:val="0"/>
        <w:numPr>
          <w:ilvl w:val="1"/>
          <w:numId w:val="20"/>
        </w:numPr>
        <w:suppressAutoHyphens/>
        <w:spacing w:before="120" w:after="120" w:line="360" w:lineRule="auto"/>
        <w:ind w:left="426" w:hanging="568"/>
        <w:jc w:val="both"/>
        <w:rPr>
          <w:rFonts w:cstheme="minorHAnsi"/>
          <w:u w:color="000000"/>
        </w:rPr>
      </w:pPr>
      <w:r w:rsidRPr="001D27C6">
        <w:rPr>
          <w:rFonts w:cstheme="minorHAnsi"/>
        </w:rPr>
        <w:t xml:space="preserve">No later than </w:t>
      </w:r>
      <w:r w:rsidR="00E42F8D">
        <w:rPr>
          <w:rFonts w:cstheme="minorHAnsi"/>
        </w:rPr>
        <w:t>25 (</w:t>
      </w:r>
      <w:r w:rsidR="001E39C0" w:rsidRPr="001D27C6">
        <w:rPr>
          <w:rFonts w:cstheme="minorHAnsi"/>
        </w:rPr>
        <w:t>twenty-five</w:t>
      </w:r>
      <w:r w:rsidR="00E42F8D">
        <w:rPr>
          <w:rFonts w:cstheme="minorHAnsi"/>
        </w:rPr>
        <w:t>)</w:t>
      </w:r>
      <w:r w:rsidRPr="001D27C6">
        <w:rPr>
          <w:rFonts w:cstheme="minorHAnsi"/>
        </w:rPr>
        <w:t xml:space="preserve"> Days before the expiration of the </w:t>
      </w:r>
      <w:r w:rsidR="004C5122" w:rsidRPr="001D27C6">
        <w:rPr>
          <w:rFonts w:cstheme="minorHAnsi"/>
        </w:rPr>
        <w:t>Bid Submission Window</w:t>
      </w:r>
      <w:r w:rsidRPr="001D27C6">
        <w:rPr>
          <w:rFonts w:cstheme="minorHAnsi"/>
        </w:rPr>
        <w:t>, requests for clarification</w:t>
      </w:r>
      <w:r w:rsidR="008907FC">
        <w:rPr>
          <w:rFonts w:cstheme="minorHAnsi"/>
        </w:rPr>
        <w:t>s</w:t>
      </w:r>
      <w:r w:rsidR="0061439D" w:rsidRPr="001D27C6">
        <w:rPr>
          <w:rFonts w:cstheme="minorHAnsi"/>
        </w:rPr>
        <w:t xml:space="preserve"> by the Participants</w:t>
      </w:r>
      <w:r w:rsidRPr="001D27C6">
        <w:rPr>
          <w:rFonts w:cstheme="minorHAnsi"/>
        </w:rPr>
        <w:t xml:space="preserve"> exclusively</w:t>
      </w:r>
      <w:r w:rsidR="001B5A03" w:rsidRPr="001D27C6">
        <w:rPr>
          <w:rFonts w:cstheme="minorHAnsi"/>
        </w:rPr>
        <w:t xml:space="preserve"> </w:t>
      </w:r>
      <w:r w:rsidR="00BB7C33" w:rsidRPr="001D27C6">
        <w:rPr>
          <w:rFonts w:cstheme="minorHAnsi"/>
        </w:rPr>
        <w:t xml:space="preserve">for </w:t>
      </w:r>
      <w:r w:rsidR="001B5A03" w:rsidRPr="001D27C6">
        <w:rPr>
          <w:rFonts w:cstheme="minorHAnsi"/>
        </w:rPr>
        <w:t>the</w:t>
      </w:r>
      <w:r w:rsidRPr="001D27C6">
        <w:rPr>
          <w:rFonts w:cstheme="minorHAnsi"/>
        </w:rPr>
        <w:t xml:space="preserve"> </w:t>
      </w:r>
      <w:r w:rsidR="004C5122" w:rsidRPr="001D27C6">
        <w:rPr>
          <w:rFonts w:cstheme="minorHAnsi"/>
        </w:rPr>
        <w:t xml:space="preserve">Binding </w:t>
      </w:r>
      <w:r w:rsidR="00B90FD3" w:rsidRPr="001D27C6">
        <w:rPr>
          <w:rFonts w:cstheme="minorHAnsi"/>
        </w:rPr>
        <w:t>Bi</w:t>
      </w:r>
      <w:r w:rsidR="004C5122" w:rsidRPr="001D27C6">
        <w:rPr>
          <w:rFonts w:cstheme="minorHAnsi"/>
        </w:rPr>
        <w:t>d</w:t>
      </w:r>
      <w:r w:rsidR="00B90FD3" w:rsidRPr="001D27C6">
        <w:rPr>
          <w:rFonts w:cstheme="minorHAnsi"/>
        </w:rPr>
        <w:t>ding Phase</w:t>
      </w:r>
      <w:r w:rsidR="001B5A03" w:rsidRPr="001D27C6">
        <w:rPr>
          <w:rFonts w:cstheme="minorHAnsi"/>
        </w:rPr>
        <w:t xml:space="preserve"> </w:t>
      </w:r>
      <w:r w:rsidR="00BB7C33" w:rsidRPr="001D27C6">
        <w:rPr>
          <w:rFonts w:cstheme="minorHAnsi"/>
        </w:rPr>
        <w:t xml:space="preserve">in accordance with </w:t>
      </w:r>
      <w:r w:rsidRPr="001D27C6">
        <w:rPr>
          <w:rFonts w:cstheme="minorHAnsi"/>
        </w:rPr>
        <w:t xml:space="preserve">the provisions of </w:t>
      </w:r>
      <w:r w:rsidR="00B90FD3" w:rsidRPr="001D27C6">
        <w:rPr>
          <w:rFonts w:cstheme="minorHAnsi"/>
        </w:rPr>
        <w:t>this Binding Biding Notice</w:t>
      </w:r>
      <w:r w:rsidR="00AB4201" w:rsidRPr="001D27C6">
        <w:rPr>
          <w:rFonts w:cstheme="minorHAnsi"/>
        </w:rPr>
        <w:t xml:space="preserve"> </w:t>
      </w:r>
      <w:r w:rsidR="00B90FD3" w:rsidRPr="001D27C6">
        <w:rPr>
          <w:rFonts w:cstheme="minorHAnsi"/>
        </w:rPr>
        <w:t>and</w:t>
      </w:r>
      <w:r w:rsidRPr="001D27C6">
        <w:rPr>
          <w:rFonts w:cstheme="minorHAnsi"/>
        </w:rPr>
        <w:t xml:space="preserve"> the </w:t>
      </w:r>
      <w:r w:rsidR="00AB4201" w:rsidRPr="001D27C6">
        <w:rPr>
          <w:rFonts w:cstheme="minorHAnsi"/>
        </w:rPr>
        <w:t>Project Proposal</w:t>
      </w:r>
      <w:r w:rsidR="00BE361B" w:rsidRPr="001D27C6">
        <w:rPr>
          <w:rFonts w:cstheme="minorHAnsi"/>
        </w:rPr>
        <w:t xml:space="preserve"> </w:t>
      </w:r>
      <w:r w:rsidRPr="001D27C6">
        <w:rPr>
          <w:rFonts w:cstheme="minorHAnsi"/>
        </w:rPr>
        <w:t>can be addressed to the following email address:</w:t>
      </w:r>
      <w:r w:rsidR="006906D2" w:rsidRPr="001D27C6">
        <w:rPr>
          <w:rFonts w:cstheme="minorHAnsi"/>
        </w:rPr>
        <w:t xml:space="preserve"> </w:t>
      </w:r>
      <w:hyperlink r:id="rId17" w:history="1">
        <w:r w:rsidR="006906D2" w:rsidRPr="001D27C6">
          <w:rPr>
            <w:rStyle w:val="Hyperlink"/>
            <w:rFonts w:cstheme="minorHAnsi"/>
          </w:rPr>
          <w:t>market-test@desfa.gr</w:t>
        </w:r>
      </w:hyperlink>
      <w:r w:rsidR="00452328" w:rsidRPr="001D27C6">
        <w:rPr>
          <w:rStyle w:val="Hyperlink"/>
          <w:rFonts w:cstheme="minorHAnsi"/>
          <w:highlight w:val="yellow"/>
        </w:rPr>
        <w:t xml:space="preserve"> </w:t>
      </w:r>
      <w:r w:rsidR="00452328" w:rsidRPr="001D27C6">
        <w:rPr>
          <w:rFonts w:eastAsia="Calibri" w:cstheme="minorHAnsi"/>
          <w:highlight w:val="yellow"/>
          <w:u w:color="000000"/>
        </w:rPr>
        <w:t xml:space="preserve"> </w:t>
      </w:r>
    </w:p>
    <w:p w14:paraId="429A61F3" w14:textId="77777777" w:rsidR="00AF1846" w:rsidRPr="001D27C6" w:rsidRDefault="00AF1846" w:rsidP="00452328">
      <w:pPr>
        <w:pStyle w:val="ListParagraph"/>
        <w:widowControl w:val="0"/>
        <w:suppressAutoHyphens/>
        <w:spacing w:before="120" w:after="120" w:line="360" w:lineRule="auto"/>
        <w:ind w:left="426"/>
        <w:jc w:val="both"/>
        <w:rPr>
          <w:rFonts w:cstheme="minorHAnsi"/>
        </w:rPr>
      </w:pPr>
      <w:r w:rsidRPr="001D27C6">
        <w:rPr>
          <w:rFonts w:cstheme="minorHAnsi"/>
        </w:rPr>
        <w:t>Within 5</w:t>
      </w:r>
      <w:r w:rsidR="00E42F8D">
        <w:rPr>
          <w:rFonts w:cstheme="minorHAnsi"/>
        </w:rPr>
        <w:t xml:space="preserve"> (</w:t>
      </w:r>
      <w:r w:rsidR="00E42F8D" w:rsidRPr="001D27C6">
        <w:rPr>
          <w:rFonts w:cstheme="minorHAnsi"/>
        </w:rPr>
        <w:t>five</w:t>
      </w:r>
      <w:r w:rsidR="00E42F8D">
        <w:rPr>
          <w:rFonts w:cstheme="minorHAnsi"/>
        </w:rPr>
        <w:t>)</w:t>
      </w:r>
      <w:r w:rsidRPr="001D27C6">
        <w:rPr>
          <w:rFonts w:cstheme="minorHAnsi"/>
        </w:rPr>
        <w:t xml:space="preserve"> Business Days from its receipt, DESFA shall provide said clarifications by uploading them, if necessary, to DESFA’s website without disclosing the requesting </w:t>
      </w:r>
      <w:r w:rsidR="0061439D" w:rsidRPr="001D27C6">
        <w:rPr>
          <w:rFonts w:cstheme="minorHAnsi"/>
        </w:rPr>
        <w:t>Participant</w:t>
      </w:r>
      <w:r w:rsidRPr="001D27C6">
        <w:rPr>
          <w:rFonts w:cstheme="minorHAnsi"/>
        </w:rPr>
        <w:t>’s identity</w:t>
      </w:r>
      <w:r w:rsidR="007E6AE5" w:rsidRPr="001D27C6">
        <w:rPr>
          <w:rFonts w:cstheme="minorHAnsi"/>
        </w:rPr>
        <w:t>.</w:t>
      </w:r>
    </w:p>
    <w:p w14:paraId="37AC7534" w14:textId="77777777" w:rsidR="00AE07CD" w:rsidRPr="001D27C6" w:rsidRDefault="00AE07CD">
      <w:pPr>
        <w:pStyle w:val="ListParagraph"/>
        <w:widowControl w:val="0"/>
        <w:numPr>
          <w:ilvl w:val="1"/>
          <w:numId w:val="20"/>
        </w:numPr>
        <w:suppressAutoHyphens/>
        <w:spacing w:before="120" w:after="120" w:line="360" w:lineRule="auto"/>
        <w:ind w:left="426" w:hanging="568"/>
        <w:jc w:val="both"/>
        <w:rPr>
          <w:rFonts w:cstheme="minorHAnsi"/>
        </w:rPr>
      </w:pPr>
      <w:r w:rsidRPr="001D27C6">
        <w:rPr>
          <w:rFonts w:cstheme="minorHAnsi"/>
        </w:rPr>
        <w:t xml:space="preserve">Binding </w:t>
      </w:r>
      <w:r w:rsidR="002B6978" w:rsidRPr="001D27C6">
        <w:rPr>
          <w:rFonts w:cstheme="minorHAnsi"/>
        </w:rPr>
        <w:t xml:space="preserve">Bid Form </w:t>
      </w:r>
      <w:r w:rsidRPr="001D27C6">
        <w:rPr>
          <w:rFonts w:cstheme="minorHAnsi"/>
        </w:rPr>
        <w:t xml:space="preserve">shall be submitted in a sealed package, </w:t>
      </w:r>
      <w:r w:rsidR="00DA55AC" w:rsidRPr="001D27C6">
        <w:rPr>
          <w:rFonts w:cstheme="minorHAnsi"/>
        </w:rPr>
        <w:t xml:space="preserve">up until the </w:t>
      </w:r>
      <w:r w:rsidR="00F62C98" w:rsidRPr="001D27C6">
        <w:rPr>
          <w:rFonts w:cstheme="minorHAnsi"/>
        </w:rPr>
        <w:t>end of the Bid Submission Window</w:t>
      </w:r>
      <w:r w:rsidR="00DA55AC" w:rsidRPr="001D27C6">
        <w:rPr>
          <w:rFonts w:cstheme="minorHAnsi"/>
        </w:rPr>
        <w:t xml:space="preserve">, </w:t>
      </w:r>
      <w:r w:rsidRPr="001D27C6">
        <w:rPr>
          <w:rFonts w:cstheme="minorHAnsi"/>
        </w:rPr>
        <w:t>on which shall be mentioned:</w:t>
      </w:r>
    </w:p>
    <w:p w14:paraId="6E192221" w14:textId="77777777" w:rsidR="00AE07CD" w:rsidRPr="001D27C6" w:rsidRDefault="00AE07CD">
      <w:pPr>
        <w:numPr>
          <w:ilvl w:val="0"/>
          <w:numId w:val="14"/>
        </w:numPr>
        <w:spacing w:after="100" w:afterAutospacing="1" w:line="276" w:lineRule="auto"/>
        <w:ind w:left="850" w:right="6" w:hanging="357"/>
        <w:jc w:val="both"/>
        <w:rPr>
          <w:rFonts w:cstheme="minorHAnsi"/>
        </w:rPr>
      </w:pPr>
      <w:r w:rsidRPr="001D27C6">
        <w:rPr>
          <w:rFonts w:cstheme="minorHAnsi"/>
        </w:rPr>
        <w:t xml:space="preserve">“Binding </w:t>
      </w:r>
      <w:r w:rsidR="00FB3BE9" w:rsidRPr="001D27C6">
        <w:rPr>
          <w:rFonts w:cstheme="minorHAnsi"/>
        </w:rPr>
        <w:t>Bid</w:t>
      </w:r>
      <w:r w:rsidRPr="001D27C6">
        <w:rPr>
          <w:rFonts w:cstheme="minorHAnsi"/>
        </w:rPr>
        <w:t xml:space="preserve"> </w:t>
      </w:r>
      <w:r w:rsidR="00ED26F2" w:rsidRPr="001D27C6">
        <w:rPr>
          <w:rFonts w:cstheme="minorHAnsi"/>
        </w:rPr>
        <w:t>for the</w:t>
      </w:r>
      <w:r w:rsidRPr="001D27C6">
        <w:rPr>
          <w:rFonts w:cstheme="minorHAnsi"/>
        </w:rPr>
        <w:t xml:space="preserve"> </w:t>
      </w:r>
      <w:r w:rsidR="00F81382" w:rsidRPr="001D27C6">
        <w:rPr>
          <w:rFonts w:cstheme="minorHAnsi"/>
        </w:rPr>
        <w:t xml:space="preserve">allocation of Incremental Capacity at </w:t>
      </w:r>
      <w:proofErr w:type="spellStart"/>
      <w:r w:rsidR="00F81382" w:rsidRPr="001D27C6">
        <w:rPr>
          <w:rFonts w:cstheme="minorHAnsi"/>
        </w:rPr>
        <w:t>Nea</w:t>
      </w:r>
      <w:proofErr w:type="spellEnd"/>
      <w:r w:rsidR="00F81382" w:rsidRPr="001D27C6">
        <w:rPr>
          <w:rFonts w:cstheme="minorHAnsi"/>
        </w:rPr>
        <w:t xml:space="preserve"> </w:t>
      </w:r>
      <w:r w:rsidR="00317B81" w:rsidRPr="001D27C6">
        <w:rPr>
          <w:rFonts w:cstheme="minorHAnsi"/>
        </w:rPr>
        <w:t>Mesimvria</w:t>
      </w:r>
      <w:r w:rsidR="00F81382" w:rsidRPr="001D27C6">
        <w:rPr>
          <w:rFonts w:cstheme="minorHAnsi"/>
        </w:rPr>
        <w:t xml:space="preserve"> Interconnection Point</w:t>
      </w:r>
      <w:r w:rsidRPr="001D27C6">
        <w:rPr>
          <w:rFonts w:cstheme="minorHAnsi"/>
        </w:rPr>
        <w:t xml:space="preserve">” </w:t>
      </w:r>
    </w:p>
    <w:p w14:paraId="553F4ED0" w14:textId="77777777" w:rsidR="00AE07CD" w:rsidRPr="001D27C6" w:rsidRDefault="007D6DAB">
      <w:pPr>
        <w:pStyle w:val="ListParagraph"/>
        <w:widowControl w:val="0"/>
        <w:numPr>
          <w:ilvl w:val="0"/>
          <w:numId w:val="14"/>
        </w:numPr>
        <w:suppressAutoHyphens/>
        <w:spacing w:before="120" w:after="120" w:line="360" w:lineRule="auto"/>
        <w:ind w:left="426" w:firstLine="0"/>
        <w:jc w:val="both"/>
        <w:rPr>
          <w:rFonts w:cstheme="minorHAnsi"/>
        </w:rPr>
      </w:pPr>
      <w:r w:rsidRPr="001D27C6">
        <w:rPr>
          <w:rFonts w:cstheme="minorHAnsi"/>
        </w:rPr>
        <w:t xml:space="preserve">    </w:t>
      </w:r>
      <w:r w:rsidR="00AE07CD" w:rsidRPr="001D27C6">
        <w:rPr>
          <w:rFonts w:cstheme="minorHAnsi"/>
        </w:rPr>
        <w:t>Participant’s company name, business residence, telephone number and e-mail address.</w:t>
      </w:r>
    </w:p>
    <w:p w14:paraId="78BF6118" w14:textId="77777777" w:rsidR="00BC19B0" w:rsidRPr="001D27C6" w:rsidRDefault="00AE07CD">
      <w:pPr>
        <w:pStyle w:val="ListParagraph"/>
        <w:widowControl w:val="0"/>
        <w:numPr>
          <w:ilvl w:val="1"/>
          <w:numId w:val="20"/>
        </w:numPr>
        <w:suppressAutoHyphens/>
        <w:spacing w:before="120" w:after="120" w:line="360" w:lineRule="auto"/>
        <w:ind w:left="426" w:hanging="568"/>
        <w:jc w:val="both"/>
        <w:rPr>
          <w:rFonts w:cstheme="minorHAnsi"/>
        </w:rPr>
      </w:pPr>
      <w:r w:rsidRPr="001D27C6">
        <w:rPr>
          <w:rFonts w:cstheme="minorHAnsi"/>
        </w:rPr>
        <w:t xml:space="preserve">The sealed package shall contain the </w:t>
      </w:r>
      <w:r w:rsidR="009310A4" w:rsidRPr="001D27C6">
        <w:rPr>
          <w:rFonts w:cstheme="minorHAnsi"/>
        </w:rPr>
        <w:t>Binding Bid Form</w:t>
      </w:r>
      <w:r w:rsidR="00FD77B9" w:rsidRPr="001D27C6">
        <w:rPr>
          <w:rFonts w:cstheme="minorHAnsi"/>
        </w:rPr>
        <w:t xml:space="preserve">, </w:t>
      </w:r>
      <w:r w:rsidR="00CA542A" w:rsidRPr="001D27C6">
        <w:rPr>
          <w:rFonts w:cstheme="minorHAnsi"/>
        </w:rPr>
        <w:t>which is included the Binding Bid</w:t>
      </w:r>
      <w:r w:rsidR="009442C1" w:rsidRPr="001D27C6">
        <w:rPr>
          <w:rFonts w:cstheme="minorHAnsi"/>
        </w:rPr>
        <w:t>,</w:t>
      </w:r>
      <w:r w:rsidR="00CA542A" w:rsidRPr="001D27C6" w:rsidDel="00CA542A">
        <w:rPr>
          <w:rFonts w:cstheme="minorHAnsi"/>
        </w:rPr>
        <w:t xml:space="preserve"> </w:t>
      </w:r>
      <w:r w:rsidR="00DC6C0E" w:rsidRPr="001D27C6">
        <w:rPr>
          <w:rFonts w:cstheme="minorHAnsi"/>
        </w:rPr>
        <w:t>in the form of Annex II</w:t>
      </w:r>
      <w:r w:rsidR="00FA16B4" w:rsidRPr="001D27C6">
        <w:rPr>
          <w:rFonts w:cstheme="minorHAnsi"/>
        </w:rPr>
        <w:t xml:space="preserve"> and</w:t>
      </w:r>
      <w:r w:rsidR="005E348B" w:rsidRPr="001D27C6">
        <w:rPr>
          <w:rFonts w:cstheme="minorHAnsi"/>
        </w:rPr>
        <w:t xml:space="preserve"> </w:t>
      </w:r>
      <w:r w:rsidR="00FA16B4" w:rsidRPr="001D27C6">
        <w:rPr>
          <w:rFonts w:cstheme="minorHAnsi"/>
        </w:rPr>
        <w:t>shall</w:t>
      </w:r>
      <w:r w:rsidR="00AD2D20" w:rsidRPr="001D27C6">
        <w:rPr>
          <w:rFonts w:cstheme="minorHAnsi"/>
        </w:rPr>
        <w:t xml:space="preserve"> bear a certificate of authenticity of the signature of the signatory from a competent authority. The submitted documents coming from a foreign country shall also bear the note of the Hague Convention (Apostille) and must be submitted in an official translation into the Greek language.</w:t>
      </w:r>
      <w:r w:rsidR="00FA16B4" w:rsidRPr="001D27C6">
        <w:rPr>
          <w:rFonts w:cstheme="minorHAnsi"/>
        </w:rPr>
        <w:t xml:space="preserve"> </w:t>
      </w:r>
      <w:r w:rsidR="006B3CBD" w:rsidRPr="001D27C6">
        <w:rPr>
          <w:rFonts w:cstheme="minorHAnsi"/>
        </w:rPr>
        <w:t xml:space="preserve">For </w:t>
      </w:r>
      <w:r w:rsidR="00AD2D20" w:rsidRPr="001D27C6">
        <w:rPr>
          <w:rFonts w:cstheme="minorHAnsi"/>
        </w:rPr>
        <w:t xml:space="preserve">any other documents </w:t>
      </w:r>
      <w:r w:rsidR="006B3CBD" w:rsidRPr="001D27C6">
        <w:rPr>
          <w:rFonts w:cstheme="minorHAnsi"/>
        </w:rPr>
        <w:t>submitted in this regard</w:t>
      </w:r>
      <w:r w:rsidR="009442C1" w:rsidRPr="001D27C6">
        <w:rPr>
          <w:rFonts w:cstheme="minorHAnsi"/>
        </w:rPr>
        <w:t>,</w:t>
      </w:r>
      <w:r w:rsidR="006B3CBD" w:rsidRPr="001D27C6">
        <w:rPr>
          <w:rFonts w:cstheme="minorHAnsi"/>
        </w:rPr>
        <w:t xml:space="preserve"> provisions of Article 5.8 </w:t>
      </w:r>
      <w:r w:rsidR="001E39C0" w:rsidRPr="001D27C6">
        <w:rPr>
          <w:rFonts w:cstheme="minorHAnsi"/>
        </w:rPr>
        <w:t>apply</w:t>
      </w:r>
      <w:r w:rsidR="006B3CBD" w:rsidRPr="001D27C6">
        <w:rPr>
          <w:rFonts w:cstheme="minorHAnsi"/>
        </w:rPr>
        <w:t xml:space="preserve">. </w:t>
      </w:r>
    </w:p>
    <w:p w14:paraId="60FCC642" w14:textId="77777777" w:rsidR="00AE07CD" w:rsidRPr="001D27C6" w:rsidRDefault="00AE07CD">
      <w:pPr>
        <w:pStyle w:val="ListParagraph"/>
        <w:widowControl w:val="0"/>
        <w:numPr>
          <w:ilvl w:val="1"/>
          <w:numId w:val="20"/>
        </w:numPr>
        <w:suppressAutoHyphens/>
        <w:spacing w:before="120" w:after="120" w:line="360" w:lineRule="auto"/>
        <w:ind w:left="426" w:hanging="568"/>
        <w:jc w:val="both"/>
        <w:rPr>
          <w:rFonts w:cstheme="minorHAnsi"/>
        </w:rPr>
      </w:pPr>
      <w:r w:rsidRPr="001D27C6">
        <w:rPr>
          <w:rFonts w:cstheme="minorHAnsi"/>
        </w:rPr>
        <w:t>All documents</w:t>
      </w:r>
      <w:r w:rsidR="00C96617" w:rsidRPr="001D27C6">
        <w:rPr>
          <w:rFonts w:cstheme="minorHAnsi"/>
        </w:rPr>
        <w:t xml:space="preserve"> </w:t>
      </w:r>
      <w:r w:rsidRPr="001D27C6">
        <w:rPr>
          <w:rFonts w:cstheme="minorHAnsi"/>
        </w:rPr>
        <w:t>to be submitted to DESFA</w:t>
      </w:r>
      <w:r w:rsidR="00C35E5C" w:rsidRPr="001D27C6">
        <w:rPr>
          <w:rFonts w:cstheme="minorHAnsi"/>
        </w:rPr>
        <w:t xml:space="preserve"> </w:t>
      </w:r>
      <w:r w:rsidRPr="001D27C6">
        <w:rPr>
          <w:rFonts w:cstheme="minorHAnsi"/>
        </w:rPr>
        <w:t xml:space="preserve">under this </w:t>
      </w:r>
      <w:r w:rsidR="005944ED">
        <w:rPr>
          <w:rFonts w:cstheme="minorHAnsi"/>
        </w:rPr>
        <w:t xml:space="preserve">Binding </w:t>
      </w:r>
      <w:r w:rsidR="00F621CB" w:rsidRPr="001D27C6">
        <w:rPr>
          <w:rFonts w:cstheme="minorHAnsi"/>
        </w:rPr>
        <w:t>Bi</w:t>
      </w:r>
      <w:r w:rsidR="005944ED">
        <w:rPr>
          <w:rFonts w:cstheme="minorHAnsi"/>
        </w:rPr>
        <w:t>d</w:t>
      </w:r>
      <w:r w:rsidR="00F621CB" w:rsidRPr="001D27C6">
        <w:rPr>
          <w:rFonts w:cstheme="minorHAnsi"/>
        </w:rPr>
        <w:t>ding Phase</w:t>
      </w:r>
      <w:r w:rsidRPr="001D27C6">
        <w:rPr>
          <w:rFonts w:cstheme="minorHAnsi"/>
        </w:rPr>
        <w:t xml:space="preserve"> should be submitted </w:t>
      </w:r>
      <w:r w:rsidR="008A4BFA" w:rsidRPr="001D27C6">
        <w:rPr>
          <w:rFonts w:cstheme="minorHAnsi"/>
        </w:rPr>
        <w:t>in DESFA’s Protocol service</w:t>
      </w:r>
      <w:r w:rsidR="008907FC">
        <w:rPr>
          <w:rFonts w:cstheme="minorHAnsi"/>
        </w:rPr>
        <w:t xml:space="preserve"> (Secretariat Unit)</w:t>
      </w:r>
      <w:r w:rsidR="008A4BFA" w:rsidRPr="001D27C6">
        <w:rPr>
          <w:rFonts w:cstheme="minorHAnsi"/>
        </w:rPr>
        <w:t xml:space="preserve"> in the following address or </w:t>
      </w:r>
      <w:r w:rsidRPr="001D27C6">
        <w:rPr>
          <w:rFonts w:cstheme="minorHAnsi"/>
        </w:rPr>
        <w:t xml:space="preserve">via courier or registered mail to the following address: </w:t>
      </w:r>
    </w:p>
    <w:p w14:paraId="5C4ECB95" w14:textId="77777777" w:rsidR="00AE07CD" w:rsidRPr="001D27C6" w:rsidRDefault="00AE07CD" w:rsidP="00CC4FB9">
      <w:pPr>
        <w:spacing w:after="0" w:line="240" w:lineRule="auto"/>
        <w:ind w:left="567" w:right="6" w:hanging="11"/>
        <w:rPr>
          <w:rFonts w:cstheme="minorHAnsi"/>
          <w:lang w:val="fr-FR"/>
        </w:rPr>
      </w:pPr>
      <w:r w:rsidRPr="001D27C6">
        <w:rPr>
          <w:rFonts w:cstheme="minorHAnsi"/>
          <w:lang w:val="fr-FR"/>
        </w:rPr>
        <w:t xml:space="preserve">DESFA S.A. </w:t>
      </w:r>
    </w:p>
    <w:p w14:paraId="55E50BC3" w14:textId="77777777" w:rsidR="00AE07CD" w:rsidRPr="001D27C6" w:rsidRDefault="00AE07CD" w:rsidP="00CC4FB9">
      <w:pPr>
        <w:spacing w:after="0" w:line="240" w:lineRule="auto"/>
        <w:ind w:left="567" w:right="6" w:hanging="11"/>
        <w:rPr>
          <w:rFonts w:cstheme="minorHAnsi"/>
          <w:lang w:val="fr-FR"/>
        </w:rPr>
      </w:pPr>
      <w:r w:rsidRPr="001D27C6">
        <w:rPr>
          <w:rFonts w:cstheme="minorHAnsi"/>
          <w:lang w:val="fr-FR"/>
        </w:rPr>
        <w:t xml:space="preserve">357-359 </w:t>
      </w:r>
      <w:proofErr w:type="spellStart"/>
      <w:r w:rsidRPr="001D27C6">
        <w:rPr>
          <w:rFonts w:cstheme="minorHAnsi"/>
          <w:lang w:val="fr-FR"/>
        </w:rPr>
        <w:t>Messogion</w:t>
      </w:r>
      <w:proofErr w:type="spellEnd"/>
      <w:r w:rsidRPr="001D27C6">
        <w:rPr>
          <w:rFonts w:cstheme="minorHAnsi"/>
          <w:lang w:val="fr-FR"/>
        </w:rPr>
        <w:t xml:space="preserve"> Ave.</w:t>
      </w:r>
    </w:p>
    <w:p w14:paraId="4F01229D" w14:textId="77777777" w:rsidR="00AE07CD" w:rsidRPr="001D27C6" w:rsidRDefault="00AE07CD" w:rsidP="00CC4FB9">
      <w:pPr>
        <w:spacing w:after="0" w:line="240" w:lineRule="auto"/>
        <w:ind w:left="567" w:right="6" w:hanging="11"/>
        <w:rPr>
          <w:rFonts w:cstheme="minorHAnsi"/>
          <w:lang w:val="fr-FR"/>
        </w:rPr>
      </w:pPr>
      <w:r w:rsidRPr="001D27C6">
        <w:rPr>
          <w:rFonts w:cstheme="minorHAnsi"/>
          <w:lang w:val="fr-FR"/>
        </w:rPr>
        <w:t xml:space="preserve">GR - 152 31 HALANDRI, GREECE </w:t>
      </w:r>
    </w:p>
    <w:p w14:paraId="7999B4A7" w14:textId="77777777" w:rsidR="00AE07CD" w:rsidRPr="001D27C6" w:rsidRDefault="00AE07CD" w:rsidP="00CC4FB9">
      <w:pPr>
        <w:spacing w:after="0" w:line="240" w:lineRule="auto"/>
        <w:ind w:left="567" w:right="6" w:hanging="11"/>
        <w:rPr>
          <w:rFonts w:cstheme="minorHAnsi"/>
          <w:lang w:val="fr-FR"/>
        </w:rPr>
      </w:pPr>
      <w:r w:rsidRPr="001D27C6">
        <w:rPr>
          <w:rFonts w:cstheme="minorHAnsi"/>
          <w:lang w:val="fr-FR"/>
        </w:rPr>
        <w:t xml:space="preserve">General Document Centre, </w:t>
      </w:r>
      <w:proofErr w:type="gramStart"/>
      <w:r w:rsidRPr="001D27C6">
        <w:rPr>
          <w:rFonts w:cstheme="minorHAnsi"/>
          <w:lang w:val="fr-FR"/>
        </w:rPr>
        <w:t>T:</w:t>
      </w:r>
      <w:proofErr w:type="gramEnd"/>
      <w:r w:rsidRPr="001D27C6">
        <w:rPr>
          <w:rFonts w:cstheme="minorHAnsi"/>
          <w:lang w:val="fr-FR"/>
        </w:rPr>
        <w:t xml:space="preserve"> +30 213 088 4278, +30 213 088 4286</w:t>
      </w:r>
    </w:p>
    <w:p w14:paraId="18B45FC9" w14:textId="77777777" w:rsidR="00AE07CD" w:rsidRPr="001D27C6" w:rsidRDefault="00AE07CD" w:rsidP="00CC4FB9">
      <w:pPr>
        <w:spacing w:after="0" w:line="240" w:lineRule="auto"/>
        <w:ind w:left="567" w:right="6" w:hanging="11"/>
        <w:rPr>
          <w:rFonts w:cstheme="minorHAnsi"/>
        </w:rPr>
      </w:pPr>
      <w:r w:rsidRPr="001D27C6">
        <w:rPr>
          <w:rFonts w:cstheme="minorHAnsi"/>
        </w:rPr>
        <w:t xml:space="preserve">to the attention of </w:t>
      </w:r>
      <w:r w:rsidR="00F678D8" w:rsidRPr="001D27C6">
        <w:rPr>
          <w:rFonts w:cstheme="minorHAnsi"/>
        </w:rPr>
        <w:t>Commercial</w:t>
      </w:r>
      <w:r w:rsidRPr="001D27C6">
        <w:rPr>
          <w:rFonts w:cstheme="minorHAnsi"/>
        </w:rPr>
        <w:t xml:space="preserve"> </w:t>
      </w:r>
      <w:r w:rsidR="009E00B3" w:rsidRPr="001D27C6">
        <w:rPr>
          <w:rFonts w:cstheme="minorHAnsi"/>
        </w:rPr>
        <w:t xml:space="preserve">Services </w:t>
      </w:r>
      <w:r w:rsidRPr="001D27C6">
        <w:rPr>
          <w:rFonts w:cstheme="minorHAnsi"/>
        </w:rPr>
        <w:t>Division</w:t>
      </w:r>
    </w:p>
    <w:p w14:paraId="5ACB51E6" w14:textId="77777777" w:rsidR="00187378" w:rsidRPr="001D27C6" w:rsidRDefault="005944ED">
      <w:pPr>
        <w:pStyle w:val="ListParagraph"/>
        <w:widowControl w:val="0"/>
        <w:numPr>
          <w:ilvl w:val="1"/>
          <w:numId w:val="20"/>
        </w:numPr>
        <w:suppressAutoHyphens/>
        <w:spacing w:before="120" w:after="120" w:line="360" w:lineRule="auto"/>
        <w:ind w:left="426" w:hanging="568"/>
        <w:jc w:val="both"/>
        <w:rPr>
          <w:rFonts w:cstheme="minorHAnsi"/>
        </w:rPr>
      </w:pPr>
      <w:r>
        <w:rPr>
          <w:rFonts w:cstheme="minorHAnsi"/>
        </w:rPr>
        <w:lastRenderedPageBreak/>
        <w:t>After</w:t>
      </w:r>
      <w:r w:rsidR="007D0463" w:rsidRPr="001D27C6">
        <w:rPr>
          <w:rFonts w:cstheme="minorHAnsi"/>
        </w:rPr>
        <w:t xml:space="preserve"> the end of the Bid Submission Window, </w:t>
      </w:r>
      <w:r w:rsidR="004D4B7B" w:rsidRPr="001D27C6">
        <w:rPr>
          <w:rFonts w:cstheme="minorHAnsi"/>
        </w:rPr>
        <w:t>DESFA</w:t>
      </w:r>
      <w:r w:rsidR="007D0463" w:rsidRPr="001D27C6">
        <w:rPr>
          <w:rFonts w:cstheme="minorHAnsi"/>
        </w:rPr>
        <w:t xml:space="preserve"> will assess the received Binding </w:t>
      </w:r>
      <w:r w:rsidR="00D71CB7" w:rsidRPr="001D27C6">
        <w:rPr>
          <w:rFonts w:cstheme="minorHAnsi"/>
        </w:rPr>
        <w:t>Bids</w:t>
      </w:r>
      <w:r w:rsidR="00735D79" w:rsidRPr="001D27C6">
        <w:rPr>
          <w:rFonts w:cstheme="minorHAnsi"/>
        </w:rPr>
        <w:t xml:space="preserve"> </w:t>
      </w:r>
      <w:r w:rsidR="007D0463" w:rsidRPr="001D27C6">
        <w:rPr>
          <w:rFonts w:cstheme="minorHAnsi"/>
        </w:rPr>
        <w:t xml:space="preserve">for completeness and compliance with respective requirements. Those Binding Bids that are accepted at </w:t>
      </w:r>
      <w:r w:rsidR="007D0463" w:rsidRPr="00E42F8D">
        <w:rPr>
          <w:rFonts w:cstheme="minorHAnsi"/>
        </w:rPr>
        <w:t xml:space="preserve">this stage will be considered as part of the preliminary </w:t>
      </w:r>
      <w:r w:rsidR="00D71CB7" w:rsidRPr="00556954">
        <w:rPr>
          <w:rFonts w:cstheme="minorHAnsi"/>
        </w:rPr>
        <w:t>c</w:t>
      </w:r>
      <w:r w:rsidR="007D0463" w:rsidRPr="00D37326">
        <w:rPr>
          <w:rFonts w:cstheme="minorHAnsi"/>
        </w:rPr>
        <w:t xml:space="preserve">apacity </w:t>
      </w:r>
      <w:r w:rsidR="00D71CB7" w:rsidRPr="004F791A">
        <w:rPr>
          <w:rFonts w:cstheme="minorHAnsi"/>
        </w:rPr>
        <w:t>a</w:t>
      </w:r>
      <w:r w:rsidR="007D0463" w:rsidRPr="004F791A">
        <w:rPr>
          <w:rFonts w:cstheme="minorHAnsi"/>
        </w:rPr>
        <w:t xml:space="preserve">llocation procedure </w:t>
      </w:r>
      <w:r w:rsidR="004D4B7B" w:rsidRPr="004F791A">
        <w:rPr>
          <w:rFonts w:cstheme="minorHAnsi"/>
        </w:rPr>
        <w:t>according</w:t>
      </w:r>
      <w:r w:rsidR="007D0463" w:rsidRPr="004F791A">
        <w:rPr>
          <w:rFonts w:cstheme="minorHAnsi"/>
        </w:rPr>
        <w:t xml:space="preserve"> </w:t>
      </w:r>
      <w:r w:rsidR="007D0463" w:rsidRPr="007B52CF">
        <w:rPr>
          <w:rFonts w:cstheme="minorHAnsi"/>
        </w:rPr>
        <w:t>Section E.4</w:t>
      </w:r>
      <w:r w:rsidR="007D0463" w:rsidRPr="00E42F8D">
        <w:rPr>
          <w:rFonts w:cstheme="minorHAnsi"/>
        </w:rPr>
        <w:t xml:space="preserve"> </w:t>
      </w:r>
      <w:r w:rsidR="004D4B7B" w:rsidRPr="00E42F8D">
        <w:rPr>
          <w:rFonts w:cstheme="minorHAnsi"/>
        </w:rPr>
        <w:t>of the Project Proposal</w:t>
      </w:r>
      <w:r w:rsidR="007D0463" w:rsidRPr="00556954">
        <w:rPr>
          <w:rFonts w:cstheme="minorHAnsi"/>
        </w:rPr>
        <w:t>.</w:t>
      </w:r>
      <w:r w:rsidR="007D0463" w:rsidRPr="001D27C6">
        <w:rPr>
          <w:rFonts w:cstheme="minorHAnsi"/>
        </w:rPr>
        <w:t xml:space="preserve"> </w:t>
      </w:r>
    </w:p>
    <w:p w14:paraId="4511C104" w14:textId="4BDC497F" w:rsidR="00D71CB7" w:rsidRPr="001D27C6" w:rsidRDefault="007D0463">
      <w:pPr>
        <w:pStyle w:val="ListParagraph"/>
        <w:widowControl w:val="0"/>
        <w:numPr>
          <w:ilvl w:val="1"/>
          <w:numId w:val="20"/>
        </w:numPr>
        <w:suppressAutoHyphens/>
        <w:spacing w:before="120" w:after="120" w:line="360" w:lineRule="auto"/>
        <w:ind w:left="426" w:hanging="568"/>
        <w:jc w:val="both"/>
        <w:rPr>
          <w:rFonts w:cstheme="minorHAnsi"/>
        </w:rPr>
      </w:pPr>
      <w:r w:rsidRPr="001D27C6">
        <w:rPr>
          <w:rFonts w:cstheme="minorHAnsi"/>
        </w:rPr>
        <w:t xml:space="preserve">In case of rejection of a Binding Bid, </w:t>
      </w:r>
      <w:r w:rsidR="004D4B7B" w:rsidRPr="001D27C6">
        <w:rPr>
          <w:rFonts w:cstheme="minorHAnsi"/>
        </w:rPr>
        <w:t>DESFA will</w:t>
      </w:r>
      <w:r w:rsidRPr="001D27C6">
        <w:rPr>
          <w:rFonts w:cstheme="minorHAnsi"/>
        </w:rPr>
        <w:t xml:space="preserve"> notify and justify </w:t>
      </w:r>
      <w:r w:rsidR="00EA0DB1" w:rsidRPr="001D27C6">
        <w:rPr>
          <w:rFonts w:cstheme="minorHAnsi"/>
        </w:rPr>
        <w:t xml:space="preserve">the reasons for rejection </w:t>
      </w:r>
      <w:r w:rsidRPr="001D27C6">
        <w:rPr>
          <w:rFonts w:cstheme="minorHAnsi"/>
        </w:rPr>
        <w:t>to the relevant Participant</w:t>
      </w:r>
      <w:r w:rsidR="00D1651E" w:rsidRPr="001D27C6">
        <w:rPr>
          <w:rFonts w:cstheme="minorHAnsi"/>
        </w:rPr>
        <w:t>, to RAE</w:t>
      </w:r>
      <w:r w:rsidRPr="001D27C6">
        <w:rPr>
          <w:rFonts w:cstheme="minorHAnsi"/>
        </w:rPr>
        <w:t xml:space="preserve"> and </w:t>
      </w:r>
      <w:r w:rsidR="00871E6F" w:rsidRPr="001D27C6">
        <w:rPr>
          <w:rFonts w:cstheme="minorHAnsi"/>
        </w:rPr>
        <w:t>to TAP</w:t>
      </w:r>
      <w:r w:rsidRPr="001D27C6">
        <w:rPr>
          <w:rFonts w:cstheme="minorHAnsi"/>
        </w:rPr>
        <w:t xml:space="preserve"> within</w:t>
      </w:r>
      <w:r w:rsidR="00506EA6" w:rsidRPr="001D27C6">
        <w:rPr>
          <w:rFonts w:cstheme="minorHAnsi"/>
        </w:rPr>
        <w:t xml:space="preserve"> 5</w:t>
      </w:r>
      <w:r w:rsidR="00930110" w:rsidRPr="001D27C6">
        <w:rPr>
          <w:rFonts w:cstheme="minorHAnsi"/>
        </w:rPr>
        <w:t xml:space="preserve"> </w:t>
      </w:r>
      <w:r w:rsidR="00195C82" w:rsidRPr="001D27C6">
        <w:rPr>
          <w:rFonts w:cstheme="minorHAnsi"/>
        </w:rPr>
        <w:t>(</w:t>
      </w:r>
      <w:r w:rsidR="00930110" w:rsidRPr="001D27C6">
        <w:rPr>
          <w:rFonts w:cstheme="minorHAnsi"/>
        </w:rPr>
        <w:t>five</w:t>
      </w:r>
      <w:r w:rsidR="00195C82" w:rsidRPr="001D27C6">
        <w:rPr>
          <w:rFonts w:cstheme="minorHAnsi"/>
        </w:rPr>
        <w:t>)</w:t>
      </w:r>
      <w:r w:rsidRPr="001D27C6">
        <w:rPr>
          <w:rFonts w:cstheme="minorHAnsi"/>
        </w:rPr>
        <w:t xml:space="preserve"> </w:t>
      </w:r>
      <w:r w:rsidR="00930110" w:rsidRPr="001D27C6">
        <w:rPr>
          <w:rFonts w:cstheme="minorHAnsi"/>
        </w:rPr>
        <w:t xml:space="preserve">business </w:t>
      </w:r>
      <w:r w:rsidRPr="001D27C6">
        <w:rPr>
          <w:rFonts w:cstheme="minorHAnsi"/>
        </w:rPr>
        <w:t>days from the end of the Bid Submission Window.</w:t>
      </w:r>
    </w:p>
    <w:p w14:paraId="552695D6" w14:textId="40A1B020" w:rsidR="00E5304B" w:rsidRPr="001D27C6" w:rsidRDefault="00E5304B">
      <w:pPr>
        <w:pStyle w:val="ListParagraph"/>
        <w:widowControl w:val="0"/>
        <w:numPr>
          <w:ilvl w:val="1"/>
          <w:numId w:val="20"/>
        </w:numPr>
        <w:suppressAutoHyphens/>
        <w:spacing w:before="120" w:after="120" w:line="360" w:lineRule="auto"/>
        <w:ind w:left="426" w:hanging="568"/>
        <w:jc w:val="both"/>
        <w:rPr>
          <w:rFonts w:cstheme="minorHAnsi"/>
        </w:rPr>
      </w:pPr>
      <w:r w:rsidRPr="001D27C6">
        <w:rPr>
          <w:rFonts w:cstheme="minorHAnsi"/>
        </w:rPr>
        <w:t>In case of equal marginal bids</w:t>
      </w:r>
      <w:r w:rsidR="00D1651E" w:rsidRPr="001D27C6">
        <w:rPr>
          <w:rFonts w:cstheme="minorHAnsi"/>
        </w:rPr>
        <w:t xml:space="preserve">, according to section E.5 of the Project Proposal, </w:t>
      </w:r>
      <w:r w:rsidRPr="001D27C6">
        <w:rPr>
          <w:rFonts w:cstheme="minorHAnsi"/>
        </w:rPr>
        <w:t xml:space="preserve">DESFA and TAP will invite Participants with equal marginal bids (EMB Bidders) to submit new </w:t>
      </w:r>
      <w:r w:rsidR="006708DF" w:rsidRPr="001D27C6">
        <w:rPr>
          <w:rFonts w:cstheme="minorHAnsi"/>
        </w:rPr>
        <w:t>binding b</w:t>
      </w:r>
      <w:r w:rsidRPr="001D27C6">
        <w:rPr>
          <w:rFonts w:cstheme="minorHAnsi"/>
        </w:rPr>
        <w:t>ids</w:t>
      </w:r>
      <w:r w:rsidR="00C50FD3" w:rsidRPr="001D27C6">
        <w:rPr>
          <w:rFonts w:cstheme="minorHAnsi"/>
        </w:rPr>
        <w:t xml:space="preserve"> only to TAP. TAP will inform DESFA about</w:t>
      </w:r>
      <w:r w:rsidR="00CD33A9" w:rsidRPr="001D27C6">
        <w:rPr>
          <w:rFonts w:cstheme="minorHAnsi"/>
        </w:rPr>
        <w:t xml:space="preserve"> </w:t>
      </w:r>
      <w:proofErr w:type="gramStart"/>
      <w:r w:rsidR="00A821AC" w:rsidRPr="001D27C6">
        <w:rPr>
          <w:rFonts w:cstheme="minorHAnsi"/>
        </w:rPr>
        <w:t xml:space="preserve">aforementioned </w:t>
      </w:r>
      <w:r w:rsidRPr="001D27C6">
        <w:rPr>
          <w:rFonts w:cstheme="minorHAnsi"/>
        </w:rPr>
        <w:t>bid</w:t>
      </w:r>
      <w:proofErr w:type="gramEnd"/>
      <w:r w:rsidRPr="001D27C6">
        <w:rPr>
          <w:rFonts w:cstheme="minorHAnsi"/>
        </w:rPr>
        <w:t xml:space="preserve"> submission</w:t>
      </w:r>
      <w:r w:rsidR="00C50FD3" w:rsidRPr="001D27C6">
        <w:rPr>
          <w:rFonts w:cstheme="minorHAnsi"/>
        </w:rPr>
        <w:t>. For any further information please refer</w:t>
      </w:r>
      <w:r w:rsidRPr="001D27C6">
        <w:rPr>
          <w:rFonts w:cstheme="minorHAnsi"/>
        </w:rPr>
        <w:t xml:space="preserve"> to the </w:t>
      </w:r>
      <w:r w:rsidR="00C50FD3" w:rsidRPr="001D27C6">
        <w:rPr>
          <w:rFonts w:cstheme="minorHAnsi"/>
        </w:rPr>
        <w:t>TAP Notice</w:t>
      </w:r>
      <w:r w:rsidR="004D634A" w:rsidRPr="001D27C6">
        <w:rPr>
          <w:rFonts w:cstheme="minorHAnsi"/>
        </w:rPr>
        <w:t xml:space="preserve"> for the </w:t>
      </w:r>
      <w:r w:rsidR="00DA2804" w:rsidRPr="001D27C6">
        <w:rPr>
          <w:rFonts w:cstheme="minorHAnsi"/>
        </w:rPr>
        <w:t>B</w:t>
      </w:r>
      <w:r w:rsidR="004D634A" w:rsidRPr="001D27C6">
        <w:rPr>
          <w:rFonts w:cstheme="minorHAnsi"/>
        </w:rPr>
        <w:t xml:space="preserve">inding </w:t>
      </w:r>
      <w:r w:rsidR="00DA2804" w:rsidRPr="001D27C6">
        <w:rPr>
          <w:rFonts w:cstheme="minorHAnsi"/>
        </w:rPr>
        <w:t>Biding P</w:t>
      </w:r>
      <w:r w:rsidR="004D634A" w:rsidRPr="001D27C6">
        <w:rPr>
          <w:rFonts w:cstheme="minorHAnsi"/>
        </w:rPr>
        <w:t>hase</w:t>
      </w:r>
      <w:r w:rsidR="009B3A03" w:rsidRPr="001D27C6">
        <w:rPr>
          <w:rFonts w:cstheme="minorHAnsi"/>
        </w:rPr>
        <w:t xml:space="preserve"> (</w:t>
      </w:r>
      <w:r w:rsidR="006B24E6" w:rsidRPr="001E73A8">
        <w:rPr>
          <w:rFonts w:ascii="Arial" w:hAnsi="Arial" w:cs="Arial"/>
          <w:sz w:val="20"/>
          <w:szCs w:val="20"/>
        </w:rPr>
        <w:t xml:space="preserve">available </w:t>
      </w:r>
      <w:hyperlink r:id="rId18" w:anchor="phase-two-downloads-20542" w:history="1">
        <w:r w:rsidR="006B24E6" w:rsidRPr="001E73A8">
          <w:rPr>
            <w:rStyle w:val="Hyperlink"/>
            <w:rFonts w:ascii="Arial" w:hAnsi="Arial" w:cs="Arial"/>
            <w:sz w:val="20"/>
            <w:szCs w:val="20"/>
          </w:rPr>
          <w:t>here</w:t>
        </w:r>
      </w:hyperlink>
      <w:r w:rsidR="009B3A03" w:rsidRPr="001D27C6">
        <w:rPr>
          <w:rFonts w:cstheme="minorHAnsi"/>
        </w:rPr>
        <w:t>)</w:t>
      </w:r>
      <w:r w:rsidR="004D634A" w:rsidRPr="001D27C6">
        <w:rPr>
          <w:rFonts w:cstheme="minorHAnsi"/>
        </w:rPr>
        <w:t>.</w:t>
      </w:r>
      <w:r w:rsidR="00230858" w:rsidRPr="001D27C6">
        <w:rPr>
          <w:rFonts w:cstheme="minorHAnsi"/>
        </w:rPr>
        <w:t xml:space="preserve"> </w:t>
      </w:r>
    </w:p>
    <w:p w14:paraId="444F1559" w14:textId="15EE85CF" w:rsidR="004431C2" w:rsidRPr="00BF12D3" w:rsidRDefault="004431C2">
      <w:pPr>
        <w:pStyle w:val="ListParagraph"/>
        <w:widowControl w:val="0"/>
        <w:numPr>
          <w:ilvl w:val="1"/>
          <w:numId w:val="20"/>
        </w:numPr>
        <w:suppressAutoHyphens/>
        <w:spacing w:before="120" w:after="120" w:line="360" w:lineRule="auto"/>
        <w:ind w:left="426" w:hanging="568"/>
        <w:jc w:val="both"/>
        <w:rPr>
          <w:rFonts w:cstheme="minorHAnsi"/>
        </w:rPr>
      </w:pPr>
      <w:r w:rsidRPr="00BF12D3">
        <w:rPr>
          <w:rFonts w:cstheme="minorHAnsi"/>
        </w:rPr>
        <w:t xml:space="preserve">Binding Bids will be processed subject to the Participants meeting the requirements set out in section E.1 of the Project Proposal. </w:t>
      </w:r>
      <w:r w:rsidR="008D6A5A" w:rsidRPr="00BF12D3">
        <w:rPr>
          <w:rFonts w:cstheme="minorHAnsi"/>
        </w:rPr>
        <w:t xml:space="preserve">Participants may submit more than one Binding Bid. Binding Bids submitted by the same Participant may vary by duration of capacity requested and capacity amount. As a rule, in a single Binding Bid, Participants may specify only one value of incremental capacity for all gas years requested. A Binding Bid may however indicate a ramp-up over the first two years of the period to which the Binding Bid relates, with a minimum value for the first gas year of 40% of capacity and 70% for the second gas year. Should Participants wish to profile their capacity request further, then they should submit separate Binding Bids. </w:t>
      </w:r>
      <w:r w:rsidR="00310F6A" w:rsidRPr="00BF12D3">
        <w:rPr>
          <w:rFonts w:cstheme="minorHAnsi"/>
        </w:rPr>
        <w:t xml:space="preserve">It is noted that </w:t>
      </w:r>
      <w:r w:rsidR="008D39BD" w:rsidRPr="00BF12D3">
        <w:rPr>
          <w:rFonts w:cstheme="minorHAnsi"/>
        </w:rPr>
        <w:t>Binding Bids by Participants will be accepted only within the limits of the guarantees which will</w:t>
      </w:r>
      <w:r w:rsidR="00C83577" w:rsidRPr="00BF12D3">
        <w:rPr>
          <w:rFonts w:cstheme="minorHAnsi"/>
        </w:rPr>
        <w:t xml:space="preserve"> </w:t>
      </w:r>
      <w:r w:rsidR="008D39BD" w:rsidRPr="00BF12D3">
        <w:rPr>
          <w:rFonts w:cstheme="minorHAnsi"/>
        </w:rPr>
        <w:t>have been presented to DESFA</w:t>
      </w:r>
      <w:r w:rsidR="00C83577" w:rsidRPr="00BF12D3">
        <w:rPr>
          <w:rFonts w:cstheme="minorHAnsi"/>
        </w:rPr>
        <w:t>.</w:t>
      </w:r>
      <w:r w:rsidR="008D39BD" w:rsidRPr="00BF12D3">
        <w:rPr>
          <w:rFonts w:cstheme="minorHAnsi"/>
        </w:rPr>
        <w:t xml:space="preserve"> </w:t>
      </w:r>
      <w:r w:rsidRPr="00BF12D3">
        <w:rPr>
          <w:rFonts w:cstheme="minorHAnsi"/>
        </w:rPr>
        <w:t xml:space="preserve">In the event of congestion, a ranking will be performed </w:t>
      </w:r>
      <w:proofErr w:type="gramStart"/>
      <w:r w:rsidRPr="00BF12D3">
        <w:rPr>
          <w:rFonts w:cstheme="minorHAnsi"/>
        </w:rPr>
        <w:t>on the basis of</w:t>
      </w:r>
      <w:proofErr w:type="gramEnd"/>
      <w:r w:rsidRPr="00BF12D3">
        <w:rPr>
          <w:rFonts w:cstheme="minorHAnsi"/>
        </w:rPr>
        <w:t xml:space="preserve"> the </w:t>
      </w:r>
      <w:r w:rsidR="00FB7DA9" w:rsidRPr="00BF12D3">
        <w:rPr>
          <w:rFonts w:cstheme="minorHAnsi"/>
        </w:rPr>
        <w:t>N</w:t>
      </w:r>
      <w:r w:rsidRPr="00BF12D3">
        <w:rPr>
          <w:rFonts w:cstheme="minorHAnsi"/>
        </w:rPr>
        <w:t xml:space="preserve">et </w:t>
      </w:r>
      <w:r w:rsidR="00FB7DA9" w:rsidRPr="00BF12D3">
        <w:rPr>
          <w:rFonts w:cstheme="minorHAnsi"/>
        </w:rPr>
        <w:t>P</w:t>
      </w:r>
      <w:r w:rsidRPr="00BF12D3">
        <w:rPr>
          <w:rFonts w:cstheme="minorHAnsi"/>
        </w:rPr>
        <w:t xml:space="preserve">resent </w:t>
      </w:r>
      <w:r w:rsidR="00FB7DA9" w:rsidRPr="00BF12D3">
        <w:rPr>
          <w:rFonts w:cstheme="minorHAnsi"/>
        </w:rPr>
        <w:t>V</w:t>
      </w:r>
      <w:r w:rsidRPr="00BF12D3">
        <w:rPr>
          <w:rFonts w:cstheme="minorHAnsi"/>
        </w:rPr>
        <w:t>alue of incremental revenues from each Binding Bid per unit of annual capacity requested as further specified in Section E</w:t>
      </w:r>
      <w:r w:rsidR="00F9599B" w:rsidRPr="00BF12D3">
        <w:rPr>
          <w:rFonts w:cstheme="minorHAnsi"/>
        </w:rPr>
        <w:t>.4</w:t>
      </w:r>
      <w:r w:rsidRPr="00BF12D3">
        <w:rPr>
          <w:rFonts w:cstheme="minorHAnsi"/>
        </w:rPr>
        <w:t xml:space="preserve"> of the Project Proposal.</w:t>
      </w:r>
    </w:p>
    <w:p w14:paraId="28F2D2AC" w14:textId="77777777" w:rsidR="0059643A" w:rsidRPr="001D27C6" w:rsidRDefault="0059643A">
      <w:pPr>
        <w:pStyle w:val="ListParagraph"/>
        <w:widowControl w:val="0"/>
        <w:numPr>
          <w:ilvl w:val="1"/>
          <w:numId w:val="20"/>
        </w:numPr>
        <w:suppressAutoHyphens/>
        <w:spacing w:before="120" w:after="120" w:line="360" w:lineRule="auto"/>
        <w:ind w:left="426" w:hanging="568"/>
        <w:jc w:val="both"/>
        <w:rPr>
          <w:rFonts w:cstheme="minorHAnsi"/>
        </w:rPr>
      </w:pPr>
      <w:r w:rsidRPr="001D27C6">
        <w:rPr>
          <w:rFonts w:cstheme="minorHAnsi"/>
        </w:rPr>
        <w:t>Participation in the Binding Bid</w:t>
      </w:r>
      <w:r w:rsidR="005B40DA">
        <w:rPr>
          <w:rFonts w:cstheme="minorHAnsi"/>
        </w:rPr>
        <w:t>d</w:t>
      </w:r>
      <w:r w:rsidRPr="001D27C6">
        <w:rPr>
          <w:rFonts w:cstheme="minorHAnsi"/>
        </w:rPr>
        <w:t xml:space="preserve">ing Phase shall be deemed as unreserved acceptance by the Participant of the terms and provisions of the Project Proposal, the Joint Notice, and all related documents, and as complete knowledge of their contents and of the Greek legislation applicable to </w:t>
      </w:r>
      <w:proofErr w:type="spellStart"/>
      <w:r w:rsidRPr="001D27C6">
        <w:rPr>
          <w:rFonts w:cstheme="minorHAnsi"/>
        </w:rPr>
        <w:t>Nea</w:t>
      </w:r>
      <w:proofErr w:type="spellEnd"/>
      <w:r w:rsidRPr="001D27C6">
        <w:rPr>
          <w:rFonts w:cstheme="minorHAnsi"/>
        </w:rPr>
        <w:t xml:space="preserve"> Mesimvria IP.</w:t>
      </w:r>
    </w:p>
    <w:p w14:paraId="0688D413" w14:textId="7A9002EE" w:rsidR="00707B17" w:rsidRPr="001D27C6" w:rsidRDefault="00707B17">
      <w:pPr>
        <w:pStyle w:val="ListParagraph"/>
        <w:widowControl w:val="0"/>
        <w:numPr>
          <w:ilvl w:val="1"/>
          <w:numId w:val="20"/>
        </w:numPr>
        <w:suppressAutoHyphens/>
        <w:spacing w:before="120" w:after="120" w:line="360" w:lineRule="auto"/>
        <w:ind w:left="426" w:hanging="568"/>
        <w:jc w:val="both"/>
        <w:rPr>
          <w:rFonts w:cstheme="minorHAnsi"/>
        </w:rPr>
      </w:pPr>
      <w:r w:rsidRPr="001D27C6">
        <w:rPr>
          <w:rFonts w:cstheme="minorHAnsi"/>
        </w:rPr>
        <w:t xml:space="preserve">Any omission to submit the </w:t>
      </w:r>
      <w:r w:rsidR="00D41DBA" w:rsidRPr="001D27C6">
        <w:rPr>
          <w:rFonts w:cstheme="minorHAnsi"/>
        </w:rPr>
        <w:t xml:space="preserve">Binding Bid Form, </w:t>
      </w:r>
      <w:r w:rsidRPr="001D27C6">
        <w:rPr>
          <w:rFonts w:cstheme="minorHAnsi"/>
        </w:rPr>
        <w:t xml:space="preserve">according to the Project Proposal </w:t>
      </w:r>
      <w:r w:rsidR="001515EB" w:rsidRPr="001D27C6">
        <w:rPr>
          <w:rFonts w:cstheme="minorHAnsi"/>
        </w:rPr>
        <w:t xml:space="preserve">and </w:t>
      </w:r>
      <w:r w:rsidR="0043121C" w:rsidRPr="001D27C6">
        <w:rPr>
          <w:rFonts w:cstheme="minorHAnsi"/>
        </w:rPr>
        <w:t xml:space="preserve">the Joint Notice, </w:t>
      </w:r>
      <w:r w:rsidRPr="001D27C6">
        <w:rPr>
          <w:rFonts w:cstheme="minorHAnsi"/>
        </w:rPr>
        <w:t xml:space="preserve">as well as the omission of a signature on any document submitted to DESFA does not </w:t>
      </w:r>
      <w:r w:rsidR="00F34B86">
        <w:rPr>
          <w:rFonts w:cstheme="minorHAnsi"/>
        </w:rPr>
        <w:t>give any right to</w:t>
      </w:r>
      <w:r w:rsidR="00F34B86" w:rsidRPr="001D27C6">
        <w:rPr>
          <w:rFonts w:cstheme="minorHAnsi"/>
        </w:rPr>
        <w:t xml:space="preserve"> </w:t>
      </w:r>
      <w:r w:rsidRPr="001D27C6">
        <w:rPr>
          <w:rFonts w:cstheme="minorHAnsi"/>
        </w:rPr>
        <w:t xml:space="preserve">the Participant to invoke this fact in its favor in any way. The Participant shall be responsible for and be bound by its Binding </w:t>
      </w:r>
      <w:r w:rsidR="00700CAE" w:rsidRPr="001D27C6">
        <w:rPr>
          <w:rFonts w:cstheme="minorHAnsi"/>
        </w:rPr>
        <w:t xml:space="preserve">Bid </w:t>
      </w:r>
      <w:r w:rsidRPr="001D27C6">
        <w:rPr>
          <w:rFonts w:cstheme="minorHAnsi"/>
        </w:rPr>
        <w:t>as submitted</w:t>
      </w:r>
      <w:r w:rsidR="00157938" w:rsidRPr="001D27C6">
        <w:rPr>
          <w:rFonts w:cstheme="minorHAnsi"/>
        </w:rPr>
        <w:t>.</w:t>
      </w:r>
    </w:p>
    <w:p w14:paraId="4A3C8A3C" w14:textId="77777777" w:rsidR="001F2B9D" w:rsidRPr="001D27C6" w:rsidRDefault="001F2B9D">
      <w:pPr>
        <w:pStyle w:val="ListParagraph"/>
        <w:widowControl w:val="0"/>
        <w:numPr>
          <w:ilvl w:val="1"/>
          <w:numId w:val="20"/>
        </w:numPr>
        <w:suppressAutoHyphens/>
        <w:spacing w:before="120" w:after="120" w:line="360" w:lineRule="auto"/>
        <w:ind w:left="426" w:hanging="568"/>
        <w:jc w:val="both"/>
        <w:rPr>
          <w:rFonts w:cstheme="minorHAnsi"/>
        </w:rPr>
      </w:pPr>
      <w:r w:rsidRPr="001D27C6">
        <w:rPr>
          <w:rFonts w:cstheme="minorHAnsi"/>
        </w:rPr>
        <w:t xml:space="preserve">All costs associated with the participation in the Incremental Capacity Process shall be entirely borne by the respective Participant, as the case may be. An exclusion from the Incremental </w:t>
      </w:r>
      <w:r w:rsidRPr="001D27C6">
        <w:rPr>
          <w:rFonts w:cstheme="minorHAnsi"/>
        </w:rPr>
        <w:lastRenderedPageBreak/>
        <w:t>Capacity Process, including present Binding Bid</w:t>
      </w:r>
      <w:r w:rsidR="006C2509">
        <w:rPr>
          <w:rFonts w:cstheme="minorHAnsi"/>
        </w:rPr>
        <w:t>d</w:t>
      </w:r>
      <w:r w:rsidRPr="001D27C6">
        <w:rPr>
          <w:rFonts w:cstheme="minorHAnsi"/>
        </w:rPr>
        <w:t>ing Phase shall not give any right to the respective Participant to claim reimbursement of any costs associated with the participation in the Incremental Capacity Process and this Binding Bi</w:t>
      </w:r>
      <w:r w:rsidR="006C2509">
        <w:rPr>
          <w:rFonts w:cstheme="minorHAnsi"/>
        </w:rPr>
        <w:t>d</w:t>
      </w:r>
      <w:r w:rsidRPr="001D27C6">
        <w:rPr>
          <w:rFonts w:cstheme="minorHAnsi"/>
        </w:rPr>
        <w:t>ding Phase.</w:t>
      </w:r>
    </w:p>
    <w:p w14:paraId="0F8FF585" w14:textId="77777777" w:rsidR="00707B17" w:rsidRPr="001D27C6" w:rsidRDefault="00707B17" w:rsidP="004431C2">
      <w:pPr>
        <w:widowControl w:val="0"/>
        <w:suppressAutoHyphens/>
        <w:spacing w:after="120" w:line="360" w:lineRule="auto"/>
        <w:jc w:val="both"/>
        <w:rPr>
          <w:rFonts w:cstheme="minorHAnsi"/>
        </w:rPr>
      </w:pPr>
    </w:p>
    <w:p w14:paraId="20CA9B00" w14:textId="77777777" w:rsidR="0035200D" w:rsidRPr="001D27C6" w:rsidRDefault="0035200D" w:rsidP="0035200D">
      <w:pPr>
        <w:pStyle w:val="Heading1"/>
        <w:spacing w:after="160"/>
      </w:pPr>
      <w:bookmarkStart w:id="41" w:name="_Toc71289528"/>
      <w:bookmarkStart w:id="42" w:name="_Toc119485257"/>
      <w:r w:rsidRPr="001D27C6">
        <w:t xml:space="preserve">Article </w:t>
      </w:r>
      <w:r w:rsidR="00A0148C" w:rsidRPr="001D27C6">
        <w:t>6</w:t>
      </w:r>
      <w:r w:rsidRPr="001D27C6">
        <w:t xml:space="preserve"> - Economic Test Parameters</w:t>
      </w:r>
      <w:bookmarkEnd w:id="41"/>
      <w:bookmarkEnd w:id="42"/>
      <w:r w:rsidRPr="001D27C6">
        <w:t xml:space="preserve"> </w:t>
      </w:r>
    </w:p>
    <w:p w14:paraId="17A924DF" w14:textId="77777777" w:rsidR="0035200D" w:rsidRPr="001D27C6" w:rsidRDefault="00CE79D1" w:rsidP="00CE79D1">
      <w:pPr>
        <w:widowControl w:val="0"/>
        <w:suppressAutoHyphens/>
        <w:spacing w:after="120"/>
        <w:ind w:left="426"/>
        <w:rPr>
          <w:rFonts w:cstheme="minorHAnsi"/>
        </w:rPr>
      </w:pPr>
      <w:r w:rsidRPr="001D27C6">
        <w:rPr>
          <w:rFonts w:cstheme="minorHAnsi"/>
        </w:rPr>
        <w:t>Please refer to</w:t>
      </w:r>
      <w:r w:rsidR="008D63AF" w:rsidRPr="001D27C6">
        <w:rPr>
          <w:rFonts w:cstheme="minorHAnsi"/>
        </w:rPr>
        <w:t xml:space="preserve"> </w:t>
      </w:r>
      <w:r w:rsidR="0035200D" w:rsidRPr="001D27C6">
        <w:rPr>
          <w:rFonts w:cstheme="minorHAnsi"/>
        </w:rPr>
        <w:t>Annex V</w:t>
      </w:r>
      <w:r w:rsidR="00A6069C" w:rsidRPr="001D27C6">
        <w:rPr>
          <w:rFonts w:cstheme="minorHAnsi"/>
        </w:rPr>
        <w:t>.</w:t>
      </w:r>
    </w:p>
    <w:p w14:paraId="4EF838A2" w14:textId="77777777" w:rsidR="0035200D" w:rsidRPr="001D27C6" w:rsidRDefault="0035200D" w:rsidP="004431C2">
      <w:pPr>
        <w:widowControl w:val="0"/>
        <w:suppressAutoHyphens/>
        <w:spacing w:after="120" w:line="360" w:lineRule="auto"/>
        <w:jc w:val="both"/>
        <w:rPr>
          <w:rFonts w:cstheme="minorHAnsi"/>
        </w:rPr>
      </w:pPr>
    </w:p>
    <w:p w14:paraId="23A16C7B" w14:textId="77777777" w:rsidR="00A243F1" w:rsidRPr="001D27C6" w:rsidRDefault="003D5005" w:rsidP="009553BC">
      <w:pPr>
        <w:pStyle w:val="Heading1"/>
        <w:spacing w:after="160"/>
      </w:pPr>
      <w:bookmarkStart w:id="43" w:name="_Toc71289529"/>
      <w:bookmarkStart w:id="44" w:name="_Toc119485258"/>
      <w:r w:rsidRPr="001D27C6">
        <w:t xml:space="preserve">Article </w:t>
      </w:r>
      <w:r w:rsidR="00A0148C" w:rsidRPr="001D27C6">
        <w:t>7</w:t>
      </w:r>
      <w:r w:rsidRPr="001D27C6">
        <w:t xml:space="preserve"> - </w:t>
      </w:r>
      <w:r w:rsidR="00A243F1" w:rsidRPr="001D27C6">
        <w:t>Capacity Allocation</w:t>
      </w:r>
      <w:r w:rsidR="00F946C3" w:rsidRPr="001D27C6">
        <w:t xml:space="preserve"> </w:t>
      </w:r>
      <w:r w:rsidR="00800D1F" w:rsidRPr="001D27C6">
        <w:t>and GTA signing</w:t>
      </w:r>
      <w:bookmarkEnd w:id="43"/>
      <w:bookmarkEnd w:id="44"/>
    </w:p>
    <w:p w14:paraId="02CB650F" w14:textId="2BE4E8E2" w:rsidR="007D0463" w:rsidRPr="00556954" w:rsidRDefault="007D0463">
      <w:pPr>
        <w:pStyle w:val="ListParagraph"/>
        <w:widowControl w:val="0"/>
        <w:numPr>
          <w:ilvl w:val="1"/>
          <w:numId w:val="28"/>
        </w:numPr>
        <w:suppressAutoHyphens/>
        <w:spacing w:before="120" w:after="120" w:line="360" w:lineRule="auto"/>
        <w:ind w:left="426" w:hanging="568"/>
        <w:jc w:val="both"/>
        <w:rPr>
          <w:rFonts w:cstheme="minorHAnsi"/>
        </w:rPr>
      </w:pPr>
      <w:r w:rsidRPr="001D27C6">
        <w:rPr>
          <w:rFonts w:cstheme="minorHAnsi"/>
        </w:rPr>
        <w:t xml:space="preserve">The </w:t>
      </w:r>
      <w:r w:rsidR="001868CC" w:rsidRPr="00556954">
        <w:rPr>
          <w:rFonts w:cstheme="minorHAnsi"/>
        </w:rPr>
        <w:t>c</w:t>
      </w:r>
      <w:r w:rsidRPr="00556954">
        <w:rPr>
          <w:rFonts w:cstheme="minorHAnsi"/>
        </w:rPr>
        <w:t xml:space="preserve">apacity </w:t>
      </w:r>
      <w:r w:rsidR="001868CC" w:rsidRPr="00D37326">
        <w:rPr>
          <w:rFonts w:cstheme="minorHAnsi"/>
        </w:rPr>
        <w:t>a</w:t>
      </w:r>
      <w:r w:rsidRPr="004F791A">
        <w:rPr>
          <w:rFonts w:cstheme="minorHAnsi"/>
        </w:rPr>
        <w:t xml:space="preserve">llocation of </w:t>
      </w:r>
      <w:r w:rsidR="00F209C1" w:rsidRPr="004F791A">
        <w:rPr>
          <w:rFonts w:cstheme="minorHAnsi"/>
        </w:rPr>
        <w:t xml:space="preserve">the </w:t>
      </w:r>
      <w:r w:rsidRPr="004F791A">
        <w:rPr>
          <w:rFonts w:cstheme="minorHAnsi"/>
        </w:rPr>
        <w:t xml:space="preserve">incremental capacity </w:t>
      </w:r>
      <w:r w:rsidR="004C2978" w:rsidRPr="007B7F42">
        <w:rPr>
          <w:rFonts w:cstheme="minorHAnsi"/>
        </w:rPr>
        <w:t xml:space="preserve">shall </w:t>
      </w:r>
      <w:r w:rsidR="00F209C1" w:rsidRPr="007B7F42">
        <w:rPr>
          <w:rFonts w:cstheme="minorHAnsi"/>
        </w:rPr>
        <w:t xml:space="preserve">follow the rules described in </w:t>
      </w:r>
      <w:r w:rsidR="00F209C1" w:rsidRPr="007B52CF">
        <w:rPr>
          <w:rFonts w:cstheme="minorHAnsi"/>
        </w:rPr>
        <w:t>section E.4</w:t>
      </w:r>
      <w:r w:rsidR="00F209C1" w:rsidRPr="00556954">
        <w:rPr>
          <w:rFonts w:cstheme="minorHAnsi"/>
        </w:rPr>
        <w:t xml:space="preserve"> of the Project Proposal</w:t>
      </w:r>
      <w:r w:rsidRPr="003F7C5E">
        <w:rPr>
          <w:rFonts w:cstheme="minorHAnsi"/>
        </w:rPr>
        <w:t xml:space="preserve">. </w:t>
      </w:r>
      <w:r w:rsidR="00F209C1" w:rsidRPr="003F7C5E">
        <w:rPr>
          <w:rFonts w:cstheme="minorHAnsi"/>
        </w:rPr>
        <w:t xml:space="preserve">In case of </w:t>
      </w:r>
      <w:r w:rsidR="00FB0311" w:rsidRPr="001171F7">
        <w:rPr>
          <w:rFonts w:cstheme="minorHAnsi"/>
        </w:rPr>
        <w:t xml:space="preserve">the existence of </w:t>
      </w:r>
      <w:r w:rsidR="00F209C1" w:rsidRPr="000F1AC8">
        <w:rPr>
          <w:rFonts w:cstheme="minorHAnsi"/>
        </w:rPr>
        <w:t>Equal Marginal Bids (EMB)</w:t>
      </w:r>
      <w:r w:rsidR="00FB0311" w:rsidRPr="000F1AC8">
        <w:rPr>
          <w:rFonts w:cstheme="minorHAnsi"/>
        </w:rPr>
        <w:t xml:space="preserve">, the rules described in </w:t>
      </w:r>
      <w:r w:rsidR="00FB0311" w:rsidRPr="007B52CF">
        <w:rPr>
          <w:rFonts w:cstheme="minorHAnsi"/>
        </w:rPr>
        <w:t>section E.</w:t>
      </w:r>
      <w:r w:rsidR="005D088D" w:rsidRPr="007B52CF">
        <w:rPr>
          <w:rFonts w:cstheme="minorHAnsi"/>
        </w:rPr>
        <w:t>5</w:t>
      </w:r>
      <w:r w:rsidR="00FB0311" w:rsidRPr="00556954">
        <w:rPr>
          <w:rFonts w:cstheme="minorHAnsi"/>
        </w:rPr>
        <w:t xml:space="preserve"> of the Project Proposal </w:t>
      </w:r>
      <w:r w:rsidR="004C2978" w:rsidRPr="00556954">
        <w:rPr>
          <w:rFonts w:cstheme="minorHAnsi"/>
        </w:rPr>
        <w:t>shall</w:t>
      </w:r>
      <w:r w:rsidR="00FB0311" w:rsidRPr="00D37326">
        <w:rPr>
          <w:rFonts w:cstheme="minorHAnsi"/>
        </w:rPr>
        <w:t xml:space="preserve"> also apply.</w:t>
      </w:r>
      <w:r w:rsidR="005D088D" w:rsidRPr="004F791A">
        <w:rPr>
          <w:rFonts w:cstheme="minorHAnsi"/>
        </w:rPr>
        <w:t xml:space="preserve"> In such case the </w:t>
      </w:r>
      <w:r w:rsidR="00757B51" w:rsidRPr="00757B51">
        <w:rPr>
          <w:rFonts w:cstheme="minorHAnsi"/>
        </w:rPr>
        <w:t xml:space="preserve">Binding Bid Guarantee </w:t>
      </w:r>
      <w:r w:rsidR="005D088D" w:rsidRPr="00677269">
        <w:rPr>
          <w:rFonts w:cstheme="minorHAnsi"/>
        </w:rPr>
        <w:t xml:space="preserve">provided by the </w:t>
      </w:r>
      <w:r w:rsidR="00A863C8" w:rsidRPr="00677269">
        <w:rPr>
          <w:rFonts w:cstheme="minorHAnsi"/>
        </w:rPr>
        <w:t>Participant</w:t>
      </w:r>
      <w:r w:rsidR="005D088D" w:rsidRPr="00677269">
        <w:rPr>
          <w:rFonts w:cstheme="minorHAnsi"/>
        </w:rPr>
        <w:t xml:space="preserve">, must be amended </w:t>
      </w:r>
      <w:r w:rsidR="00E64EDF" w:rsidRPr="00677269">
        <w:rPr>
          <w:rFonts w:cstheme="minorHAnsi"/>
        </w:rPr>
        <w:t xml:space="preserve">as described in </w:t>
      </w:r>
      <w:r w:rsidR="00E64EDF" w:rsidRPr="007B52CF">
        <w:rPr>
          <w:rFonts w:cstheme="minorHAnsi"/>
        </w:rPr>
        <w:t>section E.5</w:t>
      </w:r>
      <w:r w:rsidR="00E64EDF" w:rsidRPr="00556954">
        <w:rPr>
          <w:rFonts w:cstheme="minorHAnsi"/>
        </w:rPr>
        <w:t xml:space="preserve"> of the Project Proposal.</w:t>
      </w:r>
    </w:p>
    <w:p w14:paraId="4FF090AB" w14:textId="16739EA9" w:rsidR="007D0463" w:rsidRPr="00556954" w:rsidRDefault="007D0463">
      <w:pPr>
        <w:pStyle w:val="ListParagraph"/>
        <w:widowControl w:val="0"/>
        <w:numPr>
          <w:ilvl w:val="1"/>
          <w:numId w:val="28"/>
        </w:numPr>
        <w:suppressAutoHyphens/>
        <w:spacing w:before="120" w:after="120" w:line="360" w:lineRule="auto"/>
        <w:ind w:left="426" w:hanging="568"/>
        <w:jc w:val="both"/>
        <w:rPr>
          <w:rFonts w:cstheme="minorHAnsi"/>
        </w:rPr>
      </w:pPr>
      <w:r w:rsidRPr="003F7C5E">
        <w:rPr>
          <w:rFonts w:cstheme="minorHAnsi"/>
        </w:rPr>
        <w:t xml:space="preserve">The </w:t>
      </w:r>
      <w:r w:rsidRPr="001171F7">
        <w:rPr>
          <w:rFonts w:cstheme="minorHAnsi"/>
        </w:rPr>
        <w:t xml:space="preserve">EVT at </w:t>
      </w:r>
      <w:r w:rsidR="00802EA2" w:rsidRPr="000F1AC8">
        <w:rPr>
          <w:rFonts w:cstheme="minorHAnsi"/>
        </w:rPr>
        <w:t>DESFA</w:t>
      </w:r>
      <w:r w:rsidRPr="000F1AC8">
        <w:rPr>
          <w:rFonts w:cstheme="minorHAnsi"/>
        </w:rPr>
        <w:t xml:space="preserve"> side of </w:t>
      </w:r>
      <w:proofErr w:type="spellStart"/>
      <w:r w:rsidR="00802EA2" w:rsidRPr="00C82310">
        <w:rPr>
          <w:rFonts w:cstheme="minorHAnsi"/>
        </w:rPr>
        <w:t>Nea</w:t>
      </w:r>
      <w:proofErr w:type="spellEnd"/>
      <w:r w:rsidR="00802EA2" w:rsidRPr="00C82310">
        <w:rPr>
          <w:rFonts w:cstheme="minorHAnsi"/>
        </w:rPr>
        <w:t xml:space="preserve"> </w:t>
      </w:r>
      <w:r w:rsidR="00317B81" w:rsidRPr="00F232ED">
        <w:rPr>
          <w:rFonts w:cstheme="minorHAnsi"/>
        </w:rPr>
        <w:t>Mesimvria</w:t>
      </w:r>
      <w:r w:rsidR="00316524" w:rsidRPr="00F232ED">
        <w:rPr>
          <w:rFonts w:cstheme="minorHAnsi"/>
        </w:rPr>
        <w:t xml:space="preserve"> IP </w:t>
      </w:r>
      <w:r w:rsidR="00F946C3" w:rsidRPr="00F232ED">
        <w:rPr>
          <w:rFonts w:cstheme="minorHAnsi"/>
        </w:rPr>
        <w:t xml:space="preserve">will be carried out </w:t>
      </w:r>
      <w:r w:rsidR="00316524" w:rsidRPr="00F232ED">
        <w:rPr>
          <w:rFonts w:cstheme="minorHAnsi"/>
        </w:rPr>
        <w:t xml:space="preserve">according to the procedure described </w:t>
      </w:r>
      <w:r w:rsidR="00316524" w:rsidRPr="007B52CF">
        <w:rPr>
          <w:rFonts w:cstheme="minorHAnsi"/>
        </w:rPr>
        <w:t>in section E.6</w:t>
      </w:r>
      <w:r w:rsidR="00316524" w:rsidRPr="00556954">
        <w:rPr>
          <w:rFonts w:cstheme="minorHAnsi"/>
        </w:rPr>
        <w:t xml:space="preserve"> of the Project Proposal. </w:t>
      </w:r>
      <w:r w:rsidRPr="00556954">
        <w:rPr>
          <w:rFonts w:cstheme="minorHAnsi"/>
        </w:rPr>
        <w:t xml:space="preserve">For DESFA, the EVT </w:t>
      </w:r>
      <w:r w:rsidR="00316524" w:rsidRPr="00D37326">
        <w:rPr>
          <w:rFonts w:cstheme="minorHAnsi"/>
        </w:rPr>
        <w:t xml:space="preserve">will </w:t>
      </w:r>
      <w:proofErr w:type="gramStart"/>
      <w:r w:rsidR="00316524" w:rsidRPr="00D37326">
        <w:rPr>
          <w:rFonts w:cstheme="minorHAnsi"/>
        </w:rPr>
        <w:t>take</w:t>
      </w:r>
      <w:r w:rsidRPr="004F791A">
        <w:rPr>
          <w:rFonts w:cstheme="minorHAnsi"/>
        </w:rPr>
        <w:t xml:space="preserve"> into account</w:t>
      </w:r>
      <w:proofErr w:type="gramEnd"/>
      <w:r w:rsidRPr="004F791A">
        <w:rPr>
          <w:rFonts w:cstheme="minorHAnsi"/>
        </w:rPr>
        <w:t xml:space="preserve"> the </w:t>
      </w:r>
      <w:r w:rsidR="00716459" w:rsidRPr="004F791A">
        <w:rPr>
          <w:rFonts w:cstheme="minorHAnsi"/>
        </w:rPr>
        <w:t xml:space="preserve">parameters </w:t>
      </w:r>
      <w:r w:rsidR="00716459" w:rsidRPr="007B52CF">
        <w:rPr>
          <w:rFonts w:cstheme="minorHAnsi"/>
        </w:rPr>
        <w:t xml:space="preserve">of Annex </w:t>
      </w:r>
      <w:r w:rsidR="00BB53F6" w:rsidRPr="007B52CF">
        <w:rPr>
          <w:rFonts w:cstheme="minorHAnsi"/>
        </w:rPr>
        <w:t>V</w:t>
      </w:r>
      <w:r w:rsidR="00AF1984" w:rsidRPr="007B52CF">
        <w:rPr>
          <w:rFonts w:cstheme="minorHAnsi"/>
        </w:rPr>
        <w:t>,</w:t>
      </w:r>
      <w:r w:rsidRPr="00556954">
        <w:rPr>
          <w:rFonts w:cstheme="minorHAnsi"/>
        </w:rPr>
        <w:t xml:space="preserve"> and the present value of bind</w:t>
      </w:r>
      <w:r w:rsidR="00240DAE" w:rsidRPr="00556954">
        <w:rPr>
          <w:rFonts w:cstheme="minorHAnsi"/>
        </w:rPr>
        <w:t>ing commitments of Participants.</w:t>
      </w:r>
      <w:r w:rsidR="00A243F1" w:rsidRPr="003F7C5E">
        <w:rPr>
          <w:rFonts w:cstheme="minorHAnsi"/>
        </w:rPr>
        <w:t xml:space="preserve"> </w:t>
      </w:r>
      <w:r w:rsidRPr="003F7C5E">
        <w:rPr>
          <w:rFonts w:cstheme="minorHAnsi"/>
        </w:rPr>
        <w:t>DESFA</w:t>
      </w:r>
      <w:r w:rsidR="00240DAE" w:rsidRPr="001171F7">
        <w:rPr>
          <w:rFonts w:cstheme="minorHAnsi"/>
        </w:rPr>
        <w:t xml:space="preserve"> will</w:t>
      </w:r>
      <w:r w:rsidRPr="000F1AC8">
        <w:rPr>
          <w:rFonts w:cstheme="minorHAnsi"/>
        </w:rPr>
        <w:t xml:space="preserve"> jointly communicate </w:t>
      </w:r>
      <w:r w:rsidR="00240DAE" w:rsidRPr="000F1AC8">
        <w:rPr>
          <w:rFonts w:cstheme="minorHAnsi"/>
        </w:rPr>
        <w:t>with TAP</w:t>
      </w:r>
      <w:r w:rsidR="00BB53F6" w:rsidRPr="00C82310">
        <w:rPr>
          <w:rFonts w:cstheme="minorHAnsi"/>
        </w:rPr>
        <w:t xml:space="preserve"> and SRG</w:t>
      </w:r>
      <w:r w:rsidR="009A431E" w:rsidRPr="00F232ED">
        <w:rPr>
          <w:rFonts w:cstheme="minorHAnsi"/>
        </w:rPr>
        <w:t>,</w:t>
      </w:r>
      <w:r w:rsidR="00240DAE" w:rsidRPr="00F232ED">
        <w:rPr>
          <w:rFonts w:cstheme="minorHAnsi"/>
        </w:rPr>
        <w:t xml:space="preserve"> </w:t>
      </w:r>
      <w:r w:rsidRPr="00F232ED">
        <w:rPr>
          <w:rFonts w:cstheme="minorHAnsi"/>
        </w:rPr>
        <w:t xml:space="preserve">the EVT results to </w:t>
      </w:r>
      <w:r w:rsidR="00240DAE" w:rsidRPr="00F232ED">
        <w:rPr>
          <w:rFonts w:cstheme="minorHAnsi"/>
        </w:rPr>
        <w:t xml:space="preserve">the </w:t>
      </w:r>
      <w:r w:rsidRPr="00F232ED">
        <w:rPr>
          <w:rFonts w:cstheme="minorHAnsi"/>
        </w:rPr>
        <w:t xml:space="preserve">Participants </w:t>
      </w:r>
      <w:r w:rsidRPr="007B52CF">
        <w:rPr>
          <w:rFonts w:cstheme="minorHAnsi"/>
        </w:rPr>
        <w:t xml:space="preserve">no later than </w:t>
      </w:r>
      <w:r w:rsidR="009577D2">
        <w:rPr>
          <w:rFonts w:cstheme="minorHAnsi"/>
        </w:rPr>
        <w:t xml:space="preserve">the </w:t>
      </w:r>
      <w:r w:rsidR="00AB5266">
        <w:t>30</w:t>
      </w:r>
      <w:r w:rsidR="009577D2" w:rsidRPr="003A3341">
        <w:rPr>
          <w:vertAlign w:val="superscript"/>
        </w:rPr>
        <w:t>th</w:t>
      </w:r>
      <w:r w:rsidR="009577D2">
        <w:t xml:space="preserve"> of</w:t>
      </w:r>
      <w:r w:rsidR="00AB5266">
        <w:t xml:space="preserve"> January 2023</w:t>
      </w:r>
      <w:r w:rsidRPr="007B52CF">
        <w:rPr>
          <w:rFonts w:cstheme="minorHAnsi"/>
        </w:rPr>
        <w:t>.</w:t>
      </w:r>
      <w:r w:rsidRPr="00556954">
        <w:rPr>
          <w:rFonts w:cstheme="minorHAnsi"/>
        </w:rPr>
        <w:t xml:space="preserve">  </w:t>
      </w:r>
    </w:p>
    <w:p w14:paraId="5AEACE02" w14:textId="77777777" w:rsidR="00A30180" w:rsidRPr="001D27C6" w:rsidRDefault="000438EC">
      <w:pPr>
        <w:pStyle w:val="ListParagraph"/>
        <w:widowControl w:val="0"/>
        <w:numPr>
          <w:ilvl w:val="1"/>
          <w:numId w:val="28"/>
        </w:numPr>
        <w:suppressAutoHyphens/>
        <w:spacing w:before="120" w:after="120" w:line="360" w:lineRule="auto"/>
        <w:ind w:left="426" w:hanging="568"/>
        <w:jc w:val="both"/>
        <w:rPr>
          <w:rFonts w:cstheme="minorHAnsi"/>
        </w:rPr>
      </w:pPr>
      <w:r w:rsidRPr="001D27C6">
        <w:rPr>
          <w:rFonts w:cstheme="minorHAnsi"/>
        </w:rPr>
        <w:t xml:space="preserve">DESFA shall proceed to the evaluation of the Binding </w:t>
      </w:r>
      <w:r w:rsidR="00BF3135" w:rsidRPr="001D27C6">
        <w:rPr>
          <w:rFonts w:cstheme="minorHAnsi"/>
        </w:rPr>
        <w:t>Bids</w:t>
      </w:r>
      <w:r w:rsidRPr="001D27C6">
        <w:rPr>
          <w:rFonts w:cstheme="minorHAnsi"/>
        </w:rPr>
        <w:t xml:space="preserve">, and following a positive </w:t>
      </w:r>
      <w:r w:rsidR="00F76406" w:rsidRPr="001D27C6">
        <w:rPr>
          <w:rFonts w:cstheme="minorHAnsi"/>
        </w:rPr>
        <w:t>EVT</w:t>
      </w:r>
      <w:r w:rsidRPr="001D27C6">
        <w:rPr>
          <w:rFonts w:cstheme="minorHAnsi"/>
        </w:rPr>
        <w:t xml:space="preserve">, shall invite the Participants to which capacity shall have been allocated to sign </w:t>
      </w:r>
      <w:r w:rsidR="00A30180" w:rsidRPr="001D27C6">
        <w:rPr>
          <w:rFonts w:cstheme="minorHAnsi"/>
        </w:rPr>
        <w:t>GTA</w:t>
      </w:r>
      <w:r w:rsidRPr="001D27C6">
        <w:rPr>
          <w:rFonts w:cstheme="minorHAnsi"/>
        </w:rPr>
        <w:t>s</w:t>
      </w:r>
      <w:r w:rsidR="00A30180" w:rsidRPr="001D27C6">
        <w:rPr>
          <w:rFonts w:cstheme="minorHAnsi"/>
        </w:rPr>
        <w:t xml:space="preserve"> by sending </w:t>
      </w:r>
      <w:r w:rsidR="00E04626" w:rsidRPr="001D27C6">
        <w:rPr>
          <w:rFonts w:cstheme="minorHAnsi"/>
        </w:rPr>
        <w:t>a</w:t>
      </w:r>
      <w:r w:rsidR="00A30180" w:rsidRPr="001D27C6">
        <w:rPr>
          <w:rFonts w:cstheme="minorHAnsi"/>
        </w:rPr>
        <w:t xml:space="preserve"> </w:t>
      </w:r>
      <w:r w:rsidR="000E422D" w:rsidRPr="001D27C6">
        <w:rPr>
          <w:rFonts w:cstheme="minorHAnsi"/>
        </w:rPr>
        <w:t>Transportation Confirmation</w:t>
      </w:r>
      <w:r w:rsidR="00A30180" w:rsidRPr="001D27C6">
        <w:rPr>
          <w:rFonts w:cstheme="minorHAnsi"/>
        </w:rPr>
        <w:t xml:space="preserve"> to each Participant.</w:t>
      </w:r>
      <w:r w:rsidR="002140A0" w:rsidRPr="001D27C6">
        <w:rPr>
          <w:rFonts w:cstheme="minorHAnsi"/>
        </w:rPr>
        <w:t xml:space="preserve"> The Form of the Transportation Confirmation can be found as an Annex to the GTA.</w:t>
      </w:r>
    </w:p>
    <w:p w14:paraId="7CEE040E" w14:textId="6C9A8957" w:rsidR="00D354AB" w:rsidRPr="001D27C6" w:rsidRDefault="00597437">
      <w:pPr>
        <w:pStyle w:val="ListParagraph"/>
        <w:widowControl w:val="0"/>
        <w:numPr>
          <w:ilvl w:val="1"/>
          <w:numId w:val="28"/>
        </w:numPr>
        <w:suppressAutoHyphens/>
        <w:spacing w:before="120" w:after="120" w:line="360" w:lineRule="auto"/>
        <w:ind w:left="426" w:hanging="568"/>
        <w:jc w:val="both"/>
        <w:rPr>
          <w:rFonts w:cstheme="minorHAnsi"/>
        </w:rPr>
      </w:pPr>
      <w:r w:rsidRPr="001D27C6">
        <w:rPr>
          <w:rFonts w:cstheme="minorHAnsi"/>
        </w:rPr>
        <w:t xml:space="preserve">Where a Participant disputes the terms of the Transportation Confirmation, that Participant may seek remediation. In such case the procedure described in </w:t>
      </w:r>
      <w:r w:rsidR="002C40FB">
        <w:rPr>
          <w:rFonts w:cstheme="minorHAnsi"/>
        </w:rPr>
        <w:t xml:space="preserve">Articles </w:t>
      </w:r>
      <w:r w:rsidRPr="001D27C6">
        <w:rPr>
          <w:rFonts w:cstheme="minorHAnsi"/>
        </w:rPr>
        <w:t>5.11</w:t>
      </w:r>
      <w:r w:rsidR="002C40FB">
        <w:rPr>
          <w:rFonts w:cstheme="minorHAnsi"/>
        </w:rPr>
        <w:t xml:space="preserve"> and</w:t>
      </w:r>
      <w:r w:rsidRPr="001D27C6">
        <w:rPr>
          <w:rFonts w:cstheme="minorHAnsi"/>
        </w:rPr>
        <w:t xml:space="preserve"> 5.12 applies. If that process results in an outcome which affects other Participants, DESFA shall notify the affected Participants (if any), by sending them a revised Transportation Confirmation. </w:t>
      </w:r>
    </w:p>
    <w:p w14:paraId="521E8B6A" w14:textId="7F93C789" w:rsidR="00D354AB" w:rsidRPr="001D27C6" w:rsidRDefault="00F14804">
      <w:pPr>
        <w:pStyle w:val="ListParagraph"/>
        <w:widowControl w:val="0"/>
        <w:numPr>
          <w:ilvl w:val="1"/>
          <w:numId w:val="28"/>
        </w:numPr>
        <w:suppressAutoHyphens/>
        <w:spacing w:before="120" w:after="120" w:line="360" w:lineRule="auto"/>
        <w:ind w:left="426" w:hanging="568"/>
        <w:jc w:val="both"/>
        <w:rPr>
          <w:rFonts w:cstheme="minorHAnsi"/>
        </w:rPr>
      </w:pPr>
      <w:r>
        <w:rPr>
          <w:rFonts w:cstheme="minorHAnsi"/>
        </w:rPr>
        <w:t>Following the</w:t>
      </w:r>
      <w:r w:rsidR="00D354AB" w:rsidRPr="001D27C6">
        <w:rPr>
          <w:rFonts w:cstheme="minorHAnsi"/>
        </w:rPr>
        <w:t xml:space="preserve"> communication of the EVT results and according to the specific provisions of section E.7 of the Project Proposal and the terms of the GTA in Annex VI as approved by RAE, each successful Participant will be required to execute the GTA </w:t>
      </w:r>
      <w:r w:rsidR="0091279D">
        <w:t xml:space="preserve">by </w:t>
      </w:r>
      <w:r w:rsidR="009156AA">
        <w:t xml:space="preserve">the </w:t>
      </w:r>
      <w:r w:rsidR="0091279D">
        <w:t>15</w:t>
      </w:r>
      <w:r w:rsidR="009156AA" w:rsidRPr="003A3341">
        <w:rPr>
          <w:vertAlign w:val="superscript"/>
        </w:rPr>
        <w:t>th</w:t>
      </w:r>
      <w:r w:rsidR="009156AA">
        <w:t xml:space="preserve"> of</w:t>
      </w:r>
      <w:r w:rsidR="0091279D">
        <w:t xml:space="preserve"> February 2023 </w:t>
      </w:r>
      <w:r w:rsidR="00D354AB" w:rsidRPr="001D27C6">
        <w:rPr>
          <w:rFonts w:cstheme="minorHAnsi"/>
        </w:rPr>
        <w:t>and to provide a GTA Guarantee to DESFA</w:t>
      </w:r>
      <w:r w:rsidR="00491A4D">
        <w:rPr>
          <w:rFonts w:cstheme="minorHAnsi"/>
        </w:rPr>
        <w:t xml:space="preserve"> </w:t>
      </w:r>
      <w:r w:rsidR="0021433F">
        <w:t xml:space="preserve">according to </w:t>
      </w:r>
      <w:r w:rsidR="009156AA">
        <w:t xml:space="preserve">Article </w:t>
      </w:r>
      <w:r w:rsidR="0021433F">
        <w:t>7.6</w:t>
      </w:r>
      <w:r w:rsidR="00D354AB" w:rsidRPr="001D27C6">
        <w:rPr>
          <w:rFonts w:cstheme="minorHAnsi"/>
        </w:rPr>
        <w:t xml:space="preserve">. </w:t>
      </w:r>
    </w:p>
    <w:p w14:paraId="78D744EF" w14:textId="77777777" w:rsidR="005D50FE" w:rsidRPr="001D27C6" w:rsidRDefault="00556954">
      <w:pPr>
        <w:pStyle w:val="ListParagraph"/>
        <w:widowControl w:val="0"/>
        <w:numPr>
          <w:ilvl w:val="1"/>
          <w:numId w:val="28"/>
        </w:numPr>
        <w:suppressAutoHyphens/>
        <w:spacing w:before="120" w:after="120" w:line="360" w:lineRule="auto"/>
        <w:ind w:left="426" w:hanging="568"/>
        <w:jc w:val="both"/>
        <w:rPr>
          <w:rFonts w:cstheme="minorHAnsi"/>
        </w:rPr>
      </w:pPr>
      <w:bookmarkStart w:id="45" w:name="_Toc28009905"/>
      <w:bookmarkStart w:id="46" w:name="_Toc37333769"/>
      <w:r>
        <w:rPr>
          <w:rFonts w:cstheme="minorHAnsi"/>
        </w:rPr>
        <w:t>5 (</w:t>
      </w:r>
      <w:r w:rsidR="00BC60A5">
        <w:rPr>
          <w:rFonts w:cstheme="minorHAnsi"/>
        </w:rPr>
        <w:t>F</w:t>
      </w:r>
      <w:r w:rsidR="00D03663" w:rsidRPr="001D27C6">
        <w:rPr>
          <w:rFonts w:cstheme="minorHAnsi"/>
        </w:rPr>
        <w:t>ive</w:t>
      </w:r>
      <w:r w:rsidR="00BC60A5">
        <w:rPr>
          <w:rFonts w:cstheme="minorHAnsi"/>
        </w:rPr>
        <w:t>)</w:t>
      </w:r>
      <w:r w:rsidR="00E17A60" w:rsidRPr="001D27C6">
        <w:rPr>
          <w:rFonts w:cstheme="minorHAnsi"/>
        </w:rPr>
        <w:t xml:space="preserve"> </w:t>
      </w:r>
      <w:r w:rsidR="00D03663" w:rsidRPr="001D27C6">
        <w:rPr>
          <w:rFonts w:cstheme="minorHAnsi"/>
        </w:rPr>
        <w:t>days before</w:t>
      </w:r>
      <w:r w:rsidR="00D91C2E" w:rsidRPr="001D27C6">
        <w:rPr>
          <w:rFonts w:cstheme="minorHAnsi"/>
        </w:rPr>
        <w:t xml:space="preserve"> the execution of the GTA</w:t>
      </w:r>
      <w:r w:rsidR="00AE2F6B">
        <w:rPr>
          <w:rFonts w:cstheme="minorHAnsi"/>
        </w:rPr>
        <w:t>,</w:t>
      </w:r>
      <w:r w:rsidR="00D91C2E" w:rsidRPr="001D27C6">
        <w:rPr>
          <w:rFonts w:cstheme="minorHAnsi"/>
        </w:rPr>
        <w:t xml:space="preserve"> the successful Participant</w:t>
      </w:r>
      <w:r w:rsidR="002854EA" w:rsidRPr="001D27C6">
        <w:rPr>
          <w:rFonts w:cstheme="minorHAnsi"/>
        </w:rPr>
        <w:t xml:space="preserve"> must provide to DESFA a</w:t>
      </w:r>
      <w:bookmarkEnd w:id="45"/>
      <w:bookmarkEnd w:id="46"/>
      <w:r w:rsidR="007D0463" w:rsidRPr="001D27C6">
        <w:rPr>
          <w:rFonts w:cstheme="minorHAnsi"/>
        </w:rPr>
        <w:t xml:space="preserve"> GTA Guarantee </w:t>
      </w:r>
      <w:r w:rsidR="002854EA" w:rsidRPr="001D27C6">
        <w:rPr>
          <w:rFonts w:cstheme="minorHAnsi"/>
        </w:rPr>
        <w:t>according</w:t>
      </w:r>
      <w:r w:rsidR="001A20B0" w:rsidRPr="001D27C6">
        <w:rPr>
          <w:rFonts w:cstheme="minorHAnsi"/>
        </w:rPr>
        <w:t xml:space="preserve"> to</w:t>
      </w:r>
      <w:r w:rsidR="002854EA" w:rsidRPr="001D27C6">
        <w:rPr>
          <w:rFonts w:cstheme="minorHAnsi"/>
        </w:rPr>
        <w:t xml:space="preserve"> </w:t>
      </w:r>
      <w:r w:rsidR="00E13D51" w:rsidRPr="001D27C6">
        <w:rPr>
          <w:rFonts w:cstheme="minorHAnsi"/>
        </w:rPr>
        <w:t xml:space="preserve">section E.7 of the Project Proposal </w:t>
      </w:r>
      <w:r w:rsidR="00880B32" w:rsidRPr="001D27C6">
        <w:rPr>
          <w:rFonts w:cstheme="minorHAnsi"/>
        </w:rPr>
        <w:t xml:space="preserve">and </w:t>
      </w:r>
      <w:r w:rsidR="00C82B87" w:rsidRPr="001D27C6">
        <w:rPr>
          <w:rFonts w:cstheme="minorHAnsi"/>
        </w:rPr>
        <w:t>Annex VI</w:t>
      </w:r>
      <w:r w:rsidR="00657416" w:rsidRPr="001D27C6">
        <w:rPr>
          <w:rFonts w:cstheme="minorHAnsi"/>
        </w:rPr>
        <w:t xml:space="preserve">. </w:t>
      </w:r>
      <w:r w:rsidR="00880B32" w:rsidRPr="001D27C6">
        <w:rPr>
          <w:rFonts w:cstheme="minorHAnsi"/>
        </w:rPr>
        <w:t xml:space="preserve">The Form of </w:t>
      </w:r>
      <w:r w:rsidR="00DB47EC" w:rsidRPr="001D27C6">
        <w:rPr>
          <w:rFonts w:cstheme="minorHAnsi"/>
        </w:rPr>
        <w:t xml:space="preserve">the </w:t>
      </w:r>
      <w:r w:rsidR="00DB47EC" w:rsidRPr="001D27C6">
        <w:rPr>
          <w:rFonts w:cstheme="minorHAnsi"/>
        </w:rPr>
        <w:lastRenderedPageBreak/>
        <w:t xml:space="preserve">GTA </w:t>
      </w:r>
      <w:r w:rsidR="00880B32" w:rsidRPr="001D27C6">
        <w:rPr>
          <w:rFonts w:cstheme="minorHAnsi"/>
        </w:rPr>
        <w:t>Guarantee</w:t>
      </w:r>
      <w:r w:rsidR="00DB47EC" w:rsidRPr="001D27C6">
        <w:rPr>
          <w:rFonts w:cstheme="minorHAnsi"/>
        </w:rPr>
        <w:t xml:space="preserve"> can be found as an Annex to the GTA. </w:t>
      </w:r>
    </w:p>
    <w:p w14:paraId="757C8672" w14:textId="2F5960D3" w:rsidR="005D50FE" w:rsidRDefault="005D50FE">
      <w:pPr>
        <w:pStyle w:val="ListParagraph"/>
        <w:widowControl w:val="0"/>
        <w:numPr>
          <w:ilvl w:val="1"/>
          <w:numId w:val="28"/>
        </w:numPr>
        <w:suppressAutoHyphens/>
        <w:spacing w:before="120" w:after="120" w:line="360" w:lineRule="auto"/>
        <w:ind w:left="426" w:hanging="568"/>
        <w:jc w:val="both"/>
        <w:rPr>
          <w:rFonts w:cstheme="minorHAnsi"/>
        </w:rPr>
      </w:pPr>
      <w:r w:rsidRPr="001D27C6">
        <w:rPr>
          <w:rFonts w:cstheme="minorHAnsi"/>
        </w:rPr>
        <w:t xml:space="preserve">Failure of a </w:t>
      </w:r>
      <w:r w:rsidR="00DE5424" w:rsidRPr="001D27C6">
        <w:rPr>
          <w:rFonts w:cstheme="minorHAnsi"/>
        </w:rPr>
        <w:t xml:space="preserve">successful </w:t>
      </w:r>
      <w:r w:rsidRPr="001D27C6">
        <w:rPr>
          <w:rFonts w:cstheme="minorHAnsi"/>
        </w:rPr>
        <w:t xml:space="preserve">Participant to provide a </w:t>
      </w:r>
      <w:r w:rsidR="00654D63" w:rsidRPr="001D27C6">
        <w:rPr>
          <w:rFonts w:cstheme="minorHAnsi"/>
        </w:rPr>
        <w:t>GTA</w:t>
      </w:r>
      <w:r w:rsidRPr="001D27C6">
        <w:rPr>
          <w:rFonts w:cstheme="minorHAnsi"/>
        </w:rPr>
        <w:t xml:space="preserve"> Guarantee and/or sign </w:t>
      </w:r>
      <w:r w:rsidR="00EE3282">
        <w:rPr>
          <w:rFonts w:cstheme="minorHAnsi"/>
        </w:rPr>
        <w:t>the</w:t>
      </w:r>
      <w:r w:rsidR="00EE3282" w:rsidRPr="001D27C6">
        <w:rPr>
          <w:rFonts w:cstheme="minorHAnsi"/>
        </w:rPr>
        <w:t xml:space="preserve"> </w:t>
      </w:r>
      <w:r w:rsidR="00654D63" w:rsidRPr="001D27C6">
        <w:rPr>
          <w:rFonts w:cstheme="minorHAnsi"/>
        </w:rPr>
        <w:t>GTA</w:t>
      </w:r>
      <w:r w:rsidRPr="001D27C6">
        <w:rPr>
          <w:rFonts w:cstheme="minorHAnsi"/>
        </w:rPr>
        <w:t>, following DESFA’s invitation</w:t>
      </w:r>
      <w:r w:rsidR="001B7F55" w:rsidRPr="001B7F55">
        <w:t xml:space="preserve"> </w:t>
      </w:r>
      <w:r w:rsidR="001B7F55" w:rsidRPr="001B7F55">
        <w:rPr>
          <w:rFonts w:cstheme="minorHAnsi"/>
        </w:rPr>
        <w:t>as per Article 7.3</w:t>
      </w:r>
      <w:r w:rsidRPr="001D27C6">
        <w:rPr>
          <w:rFonts w:cstheme="minorHAnsi"/>
        </w:rPr>
        <w:t xml:space="preserve">, said Participant shall be excluded </w:t>
      </w:r>
      <w:r w:rsidR="004B00E3" w:rsidRPr="001D27C6">
        <w:rPr>
          <w:rFonts w:cstheme="minorHAnsi"/>
        </w:rPr>
        <w:t xml:space="preserve">from the </w:t>
      </w:r>
      <w:r w:rsidR="00AB424C">
        <w:rPr>
          <w:rFonts w:cstheme="minorHAnsi"/>
        </w:rPr>
        <w:t>I</w:t>
      </w:r>
      <w:r w:rsidR="004B00E3" w:rsidRPr="001D27C6">
        <w:rPr>
          <w:rFonts w:cstheme="minorHAnsi"/>
        </w:rPr>
        <w:t xml:space="preserve">ncremental </w:t>
      </w:r>
      <w:r w:rsidR="00AB424C">
        <w:rPr>
          <w:rFonts w:cstheme="minorHAnsi"/>
        </w:rPr>
        <w:t>C</w:t>
      </w:r>
      <w:r w:rsidR="004B00E3" w:rsidRPr="001D27C6">
        <w:rPr>
          <w:rFonts w:cstheme="minorHAnsi"/>
        </w:rPr>
        <w:t xml:space="preserve">apacity </w:t>
      </w:r>
      <w:r w:rsidR="00AB424C">
        <w:rPr>
          <w:rFonts w:cstheme="minorHAnsi"/>
        </w:rPr>
        <w:t>P</w:t>
      </w:r>
      <w:r w:rsidR="004B00E3" w:rsidRPr="001D27C6">
        <w:rPr>
          <w:rFonts w:cstheme="minorHAnsi"/>
        </w:rPr>
        <w:t>rocess and shall pay a penalty to DESFA equal to the value of the Binding Bid Guarantee described in Section E.1. of the Project Proposal in DESFA’s part. If not</w:t>
      </w:r>
      <w:r w:rsidR="00AE2F6B">
        <w:rPr>
          <w:rFonts w:cstheme="minorHAnsi"/>
        </w:rPr>
        <w:t>,</w:t>
      </w:r>
      <w:r w:rsidR="004B00E3" w:rsidRPr="001D27C6">
        <w:rPr>
          <w:rFonts w:cstheme="minorHAnsi"/>
        </w:rPr>
        <w:t xml:space="preserve"> </w:t>
      </w:r>
      <w:r w:rsidR="00F86D72" w:rsidRPr="001D27C6">
        <w:rPr>
          <w:rFonts w:cstheme="minorHAnsi"/>
        </w:rPr>
        <w:t>DESFA shall forfeit the Participant</w:t>
      </w:r>
      <w:r w:rsidRPr="001D27C6">
        <w:rPr>
          <w:rFonts w:cstheme="minorHAnsi"/>
        </w:rPr>
        <w:t xml:space="preserve"> </w:t>
      </w:r>
      <w:r w:rsidR="00D02E50" w:rsidRPr="001D27C6">
        <w:rPr>
          <w:rFonts w:cstheme="minorHAnsi"/>
        </w:rPr>
        <w:t>Binding Bid</w:t>
      </w:r>
      <w:r w:rsidRPr="001D27C6">
        <w:rPr>
          <w:rFonts w:cstheme="minorHAnsi"/>
        </w:rPr>
        <w:t xml:space="preserve"> Guarantee. </w:t>
      </w:r>
    </w:p>
    <w:p w14:paraId="3EF6A9F8" w14:textId="107C996E" w:rsidR="00D443B6" w:rsidRPr="001D27C6" w:rsidRDefault="00D443B6">
      <w:pPr>
        <w:pStyle w:val="ListParagraph"/>
        <w:widowControl w:val="0"/>
        <w:numPr>
          <w:ilvl w:val="1"/>
          <w:numId w:val="28"/>
        </w:numPr>
        <w:suppressAutoHyphens/>
        <w:spacing w:before="120" w:after="120" w:line="360" w:lineRule="auto"/>
        <w:ind w:left="426" w:hanging="568"/>
        <w:jc w:val="both"/>
        <w:rPr>
          <w:rFonts w:cstheme="minorHAnsi"/>
        </w:rPr>
      </w:pPr>
      <w:r w:rsidRPr="00D443B6">
        <w:rPr>
          <w:rFonts w:cstheme="minorHAnsi"/>
        </w:rPr>
        <w:t xml:space="preserve">The Participant undertakes to </w:t>
      </w:r>
      <w:proofErr w:type="gramStart"/>
      <w:r w:rsidRPr="00D443B6">
        <w:rPr>
          <w:rFonts w:cstheme="minorHAnsi"/>
        </w:rPr>
        <w:t>keep at all times</w:t>
      </w:r>
      <w:proofErr w:type="gramEnd"/>
      <w:r w:rsidRPr="00D443B6">
        <w:rPr>
          <w:rFonts w:cstheme="minorHAnsi"/>
        </w:rPr>
        <w:t xml:space="preserve"> the GTA Guarantee in full force and effect up to the Termination Date and for the amount provided for in provided for in the GTA. In case of partial forfeiture of the GTA Guarantee for any reason, the Participant undertakes to take all necessary actions, within five (5) working days, </w:t>
      </w:r>
      <w:proofErr w:type="gramStart"/>
      <w:r w:rsidRPr="00D443B6">
        <w:rPr>
          <w:rFonts w:cstheme="minorHAnsi"/>
        </w:rPr>
        <w:t>in order to</w:t>
      </w:r>
      <w:proofErr w:type="gramEnd"/>
      <w:r w:rsidRPr="00D443B6">
        <w:rPr>
          <w:rFonts w:cstheme="minorHAnsi"/>
        </w:rPr>
        <w:t xml:space="preserve"> ensure that the GTA Guarantee held by DESFA will fully cover the amount provided for in the GTA.</w:t>
      </w:r>
    </w:p>
    <w:p w14:paraId="453ECCE8" w14:textId="77777777" w:rsidR="005D50FE" w:rsidRPr="001D27C6" w:rsidRDefault="005D50FE">
      <w:pPr>
        <w:pStyle w:val="ListParagraph"/>
        <w:widowControl w:val="0"/>
        <w:numPr>
          <w:ilvl w:val="1"/>
          <w:numId w:val="28"/>
        </w:numPr>
        <w:suppressAutoHyphens/>
        <w:spacing w:before="120" w:after="120" w:line="360" w:lineRule="auto"/>
        <w:ind w:left="426" w:hanging="568"/>
        <w:jc w:val="both"/>
        <w:rPr>
          <w:rFonts w:cstheme="minorHAnsi"/>
        </w:rPr>
      </w:pPr>
      <w:r w:rsidRPr="001D27C6">
        <w:rPr>
          <w:rFonts w:cstheme="minorHAnsi"/>
        </w:rPr>
        <w:t xml:space="preserve">The allocation of less capacity than the one requested in the Binding </w:t>
      </w:r>
      <w:r w:rsidR="006129EB" w:rsidRPr="001D27C6">
        <w:rPr>
          <w:rFonts w:cstheme="minorHAnsi"/>
        </w:rPr>
        <w:t xml:space="preserve">Biding </w:t>
      </w:r>
      <w:r w:rsidRPr="001D27C6">
        <w:rPr>
          <w:rFonts w:cstheme="minorHAnsi"/>
        </w:rPr>
        <w:t xml:space="preserve">Form, is not a valid reason for a Participant to withdraw from the </w:t>
      </w:r>
      <w:r w:rsidR="003819FA" w:rsidRPr="001D27C6">
        <w:rPr>
          <w:rFonts w:cstheme="minorHAnsi"/>
        </w:rPr>
        <w:t xml:space="preserve">incremental capacity process </w:t>
      </w:r>
      <w:r w:rsidRPr="001D27C6">
        <w:rPr>
          <w:rFonts w:cstheme="minorHAnsi"/>
        </w:rPr>
        <w:t xml:space="preserve">without forfeit of his </w:t>
      </w:r>
      <w:r w:rsidR="009B39B5" w:rsidRPr="001D27C6">
        <w:rPr>
          <w:rFonts w:cstheme="minorHAnsi"/>
        </w:rPr>
        <w:t xml:space="preserve">Binding Bid </w:t>
      </w:r>
      <w:r w:rsidRPr="001D27C6">
        <w:rPr>
          <w:rFonts w:cstheme="minorHAnsi"/>
        </w:rPr>
        <w:t>Guarantee</w:t>
      </w:r>
      <w:r w:rsidR="009B39B5" w:rsidRPr="001D27C6">
        <w:rPr>
          <w:rFonts w:cstheme="minorHAnsi"/>
        </w:rPr>
        <w:t>,</w:t>
      </w:r>
      <w:r w:rsidRPr="001D27C6">
        <w:rPr>
          <w:rFonts w:cstheme="minorHAnsi"/>
        </w:rPr>
        <w:t xml:space="preserve"> if such Participant has declared, in the Binding </w:t>
      </w:r>
      <w:r w:rsidR="006129EB" w:rsidRPr="001D27C6">
        <w:rPr>
          <w:rFonts w:cstheme="minorHAnsi"/>
        </w:rPr>
        <w:t xml:space="preserve">Bid </w:t>
      </w:r>
      <w:r w:rsidRPr="001D27C6">
        <w:rPr>
          <w:rFonts w:cstheme="minorHAnsi"/>
        </w:rPr>
        <w:t>Form, that he accepts the capacity</w:t>
      </w:r>
      <w:r w:rsidR="007C0C02" w:rsidRPr="001D27C6">
        <w:rPr>
          <w:rFonts w:cstheme="minorHAnsi"/>
        </w:rPr>
        <w:t xml:space="preserve"> reduction</w:t>
      </w:r>
      <w:r w:rsidRPr="001D27C6">
        <w:rPr>
          <w:rFonts w:cstheme="minorHAnsi"/>
        </w:rPr>
        <w:t xml:space="preserve">. </w:t>
      </w:r>
    </w:p>
    <w:p w14:paraId="1547C61D" w14:textId="77777777" w:rsidR="00057084" w:rsidRPr="001D27C6" w:rsidRDefault="00057084" w:rsidP="00057084">
      <w:pPr>
        <w:spacing w:after="0"/>
        <w:jc w:val="center"/>
        <w:rPr>
          <w:rFonts w:cstheme="minorHAnsi"/>
          <w:b/>
          <w:sz w:val="24"/>
          <w:szCs w:val="24"/>
          <w:highlight w:val="cyan"/>
        </w:rPr>
      </w:pPr>
    </w:p>
    <w:p w14:paraId="7D87F43D" w14:textId="77777777" w:rsidR="00057084" w:rsidRPr="001D27C6" w:rsidRDefault="004625AA" w:rsidP="00057084">
      <w:pPr>
        <w:pStyle w:val="Heading1"/>
        <w:spacing w:after="160"/>
      </w:pPr>
      <w:bookmarkStart w:id="47" w:name="_Toc58000409"/>
      <w:bookmarkStart w:id="48" w:name="_Toc71289530"/>
      <w:bookmarkStart w:id="49" w:name="_Toc119485259"/>
      <w:r w:rsidRPr="001D27C6">
        <w:t xml:space="preserve">Article </w:t>
      </w:r>
      <w:r w:rsidR="005A727B" w:rsidRPr="001D27C6">
        <w:t>8</w:t>
      </w:r>
      <w:r w:rsidRPr="001D27C6">
        <w:t xml:space="preserve"> - </w:t>
      </w:r>
      <w:r w:rsidR="00057084" w:rsidRPr="001D27C6">
        <w:t>Notices</w:t>
      </w:r>
      <w:bookmarkEnd w:id="47"/>
      <w:bookmarkEnd w:id="48"/>
      <w:bookmarkEnd w:id="49"/>
    </w:p>
    <w:p w14:paraId="63B1C0B8" w14:textId="77777777" w:rsidR="005A727B" w:rsidRPr="001D27C6" w:rsidRDefault="00057084">
      <w:pPr>
        <w:pStyle w:val="ListParagraph"/>
        <w:widowControl w:val="0"/>
        <w:numPr>
          <w:ilvl w:val="1"/>
          <w:numId w:val="32"/>
        </w:numPr>
        <w:suppressAutoHyphens/>
        <w:spacing w:before="120" w:after="120" w:line="360" w:lineRule="auto"/>
        <w:ind w:left="426" w:hanging="568"/>
        <w:jc w:val="both"/>
        <w:rPr>
          <w:rFonts w:cstheme="minorHAnsi"/>
        </w:rPr>
      </w:pPr>
      <w:r w:rsidRPr="001D27C6">
        <w:rPr>
          <w:rFonts w:cstheme="minorHAnsi"/>
        </w:rPr>
        <w:t>Any notice to be given hereunder, shall be in writing and (unless expressly specified herein) may be given by delivering the same by hand or by sending a letter by pre-paid post, courier service</w:t>
      </w:r>
      <w:r w:rsidR="00D871F7" w:rsidRPr="001D27C6">
        <w:rPr>
          <w:rFonts w:cstheme="minorHAnsi"/>
        </w:rPr>
        <w:t xml:space="preserve"> </w:t>
      </w:r>
      <w:r w:rsidRPr="001D27C6">
        <w:rPr>
          <w:rFonts w:cstheme="minorHAnsi"/>
        </w:rPr>
        <w:t>or by email to the relevant address set out in</w:t>
      </w:r>
      <w:r w:rsidR="001B5E0B" w:rsidRPr="001D27C6">
        <w:rPr>
          <w:rFonts w:cstheme="minorHAnsi"/>
        </w:rPr>
        <w:t xml:space="preserve"> this Binding Bid</w:t>
      </w:r>
      <w:r w:rsidR="00055E91">
        <w:rPr>
          <w:rFonts w:cstheme="minorHAnsi"/>
        </w:rPr>
        <w:t>d</w:t>
      </w:r>
      <w:r w:rsidR="001B5E0B" w:rsidRPr="001D27C6">
        <w:rPr>
          <w:rFonts w:cstheme="minorHAnsi"/>
        </w:rPr>
        <w:t>ing</w:t>
      </w:r>
      <w:r w:rsidRPr="001D27C6">
        <w:rPr>
          <w:rFonts w:cstheme="minorHAnsi"/>
        </w:rPr>
        <w:t xml:space="preserve"> Notice or such other address as the relevant </w:t>
      </w:r>
      <w:r w:rsidR="001B5E0B" w:rsidRPr="001D27C6">
        <w:rPr>
          <w:rFonts w:cstheme="minorHAnsi"/>
        </w:rPr>
        <w:t>p</w:t>
      </w:r>
      <w:r w:rsidRPr="001D27C6">
        <w:rPr>
          <w:rFonts w:cstheme="minorHAnsi"/>
        </w:rPr>
        <w:t xml:space="preserve">arty may notify to the other </w:t>
      </w:r>
      <w:r w:rsidR="001B5E0B" w:rsidRPr="001D27C6">
        <w:rPr>
          <w:rFonts w:cstheme="minorHAnsi"/>
        </w:rPr>
        <w:t>p</w:t>
      </w:r>
      <w:r w:rsidRPr="001D27C6">
        <w:rPr>
          <w:rFonts w:cstheme="minorHAnsi"/>
        </w:rPr>
        <w:t>arty from time to time.</w:t>
      </w:r>
    </w:p>
    <w:p w14:paraId="353B36B9" w14:textId="77777777" w:rsidR="00EA3C1C" w:rsidRPr="001D27C6" w:rsidRDefault="00057084">
      <w:pPr>
        <w:pStyle w:val="ListParagraph"/>
        <w:widowControl w:val="0"/>
        <w:numPr>
          <w:ilvl w:val="1"/>
          <w:numId w:val="32"/>
        </w:numPr>
        <w:suppressAutoHyphens/>
        <w:spacing w:before="120" w:after="120" w:line="360" w:lineRule="auto"/>
        <w:ind w:left="426" w:hanging="568"/>
        <w:jc w:val="both"/>
        <w:rPr>
          <w:rFonts w:cstheme="minorHAnsi"/>
        </w:rPr>
      </w:pPr>
      <w:r w:rsidRPr="001D27C6">
        <w:rPr>
          <w:rFonts w:cstheme="minorHAnsi"/>
        </w:rPr>
        <w:t xml:space="preserve">Communications between the </w:t>
      </w:r>
      <w:r w:rsidR="001B5E0B" w:rsidRPr="001D27C6">
        <w:rPr>
          <w:rFonts w:cstheme="minorHAnsi"/>
        </w:rPr>
        <w:t>p</w:t>
      </w:r>
      <w:r w:rsidRPr="001D27C6">
        <w:rPr>
          <w:rFonts w:cstheme="minorHAnsi"/>
        </w:rPr>
        <w:t>arties shall be in the English language.</w:t>
      </w:r>
      <w:r w:rsidR="002D53F9" w:rsidRPr="001D27C6">
        <w:rPr>
          <w:rFonts w:cstheme="minorHAnsi"/>
        </w:rPr>
        <w:t xml:space="preserve"> </w:t>
      </w:r>
      <w:r w:rsidR="005509A6" w:rsidRPr="001D27C6">
        <w:rPr>
          <w:rFonts w:cstheme="minorHAnsi"/>
        </w:rPr>
        <w:t xml:space="preserve">Business Day means any day that is not a Saturday, </w:t>
      </w:r>
      <w:proofErr w:type="gramStart"/>
      <w:r w:rsidR="005509A6" w:rsidRPr="001D27C6">
        <w:rPr>
          <w:rFonts w:cstheme="minorHAnsi"/>
        </w:rPr>
        <w:t>Sunday</w:t>
      </w:r>
      <w:proofErr w:type="gramEnd"/>
      <w:r w:rsidR="005509A6" w:rsidRPr="001D27C6">
        <w:rPr>
          <w:rFonts w:cstheme="minorHAnsi"/>
        </w:rPr>
        <w:t xml:space="preserve"> or public holiday in Greece.</w:t>
      </w:r>
    </w:p>
    <w:p w14:paraId="3BAF35EB" w14:textId="77777777" w:rsidR="00EA3C1C" w:rsidRPr="001D27C6" w:rsidRDefault="00057084">
      <w:pPr>
        <w:pStyle w:val="ListParagraph"/>
        <w:widowControl w:val="0"/>
        <w:numPr>
          <w:ilvl w:val="1"/>
          <w:numId w:val="32"/>
        </w:numPr>
        <w:suppressAutoHyphens/>
        <w:spacing w:before="120" w:after="120" w:line="360" w:lineRule="auto"/>
        <w:ind w:left="426" w:hanging="568"/>
        <w:jc w:val="both"/>
        <w:rPr>
          <w:rFonts w:cstheme="minorHAnsi"/>
        </w:rPr>
      </w:pPr>
      <w:r w:rsidRPr="001D27C6">
        <w:rPr>
          <w:rFonts w:cstheme="minorHAnsi"/>
        </w:rPr>
        <w:t xml:space="preserve">Save and except in the case of a notice requiring a response within a fixed </w:t>
      </w:r>
      <w:proofErr w:type="gramStart"/>
      <w:r w:rsidRPr="001D27C6">
        <w:rPr>
          <w:rFonts w:cstheme="minorHAnsi"/>
        </w:rPr>
        <w:t>time period</w:t>
      </w:r>
      <w:proofErr w:type="gramEnd"/>
      <w:r w:rsidRPr="001D27C6">
        <w:rPr>
          <w:rFonts w:cstheme="minorHAnsi"/>
        </w:rPr>
        <w:t xml:space="preserve">, any notice given as aforesaid shall be deemed to have been received: </w:t>
      </w:r>
    </w:p>
    <w:p w14:paraId="4BB442A0" w14:textId="77777777" w:rsidR="00057084" w:rsidRPr="001D27C6" w:rsidRDefault="00057084">
      <w:pPr>
        <w:pStyle w:val="ListParagraph"/>
        <w:widowControl w:val="0"/>
        <w:numPr>
          <w:ilvl w:val="1"/>
          <w:numId w:val="30"/>
        </w:numPr>
        <w:suppressAutoHyphens/>
        <w:spacing w:before="120" w:after="120" w:line="360" w:lineRule="auto"/>
        <w:ind w:hanging="83"/>
        <w:jc w:val="both"/>
        <w:rPr>
          <w:rFonts w:cstheme="minorHAnsi"/>
        </w:rPr>
      </w:pPr>
      <w:r w:rsidRPr="001D27C6">
        <w:rPr>
          <w:rFonts w:cstheme="minorHAnsi"/>
        </w:rPr>
        <w:t>in the case of delivery by hand, when delivered with an appropriate registration; or</w:t>
      </w:r>
    </w:p>
    <w:p w14:paraId="5D6CCE30" w14:textId="77777777" w:rsidR="00057084" w:rsidRPr="001D27C6" w:rsidRDefault="00057084">
      <w:pPr>
        <w:pStyle w:val="ListParagraph"/>
        <w:widowControl w:val="0"/>
        <w:numPr>
          <w:ilvl w:val="1"/>
          <w:numId w:val="30"/>
        </w:numPr>
        <w:suppressAutoHyphens/>
        <w:spacing w:before="120" w:after="120" w:line="360" w:lineRule="auto"/>
        <w:ind w:hanging="83"/>
        <w:jc w:val="both"/>
        <w:rPr>
          <w:rFonts w:cstheme="minorHAnsi"/>
        </w:rPr>
      </w:pPr>
      <w:r w:rsidRPr="001D27C6">
        <w:rPr>
          <w:rFonts w:cstheme="minorHAnsi"/>
        </w:rPr>
        <w:t xml:space="preserve">in the case of registered post, on the date of registered delivery to DESFA’s </w:t>
      </w:r>
      <w:proofErr w:type="gramStart"/>
      <w:r w:rsidRPr="001D27C6">
        <w:rPr>
          <w:rFonts w:cstheme="minorHAnsi"/>
        </w:rPr>
        <w:t>premises;</w:t>
      </w:r>
      <w:proofErr w:type="gramEnd"/>
      <w:r w:rsidRPr="001D27C6">
        <w:rPr>
          <w:rFonts w:cstheme="minorHAnsi"/>
        </w:rPr>
        <w:t xml:space="preserve">  </w:t>
      </w:r>
    </w:p>
    <w:p w14:paraId="322EEE04" w14:textId="77777777" w:rsidR="00057084" w:rsidRPr="001D27C6" w:rsidRDefault="00057084">
      <w:pPr>
        <w:pStyle w:val="ListParagraph"/>
        <w:widowControl w:val="0"/>
        <w:numPr>
          <w:ilvl w:val="1"/>
          <w:numId w:val="30"/>
        </w:numPr>
        <w:suppressAutoHyphens/>
        <w:spacing w:before="120" w:after="120" w:line="360" w:lineRule="auto"/>
        <w:ind w:hanging="83"/>
        <w:jc w:val="both"/>
        <w:rPr>
          <w:rFonts w:cstheme="minorHAnsi"/>
          <w:szCs w:val="24"/>
        </w:rPr>
      </w:pPr>
      <w:r w:rsidRPr="001D27C6">
        <w:rPr>
          <w:rFonts w:cstheme="minorHAnsi"/>
        </w:rPr>
        <w:t xml:space="preserve">in the case of email to the valid email address of the other </w:t>
      </w:r>
      <w:r w:rsidR="005509A6" w:rsidRPr="001D27C6">
        <w:rPr>
          <w:rFonts w:cstheme="minorHAnsi"/>
        </w:rPr>
        <w:t>p</w:t>
      </w:r>
      <w:r w:rsidRPr="001D27C6">
        <w:rPr>
          <w:rFonts w:cstheme="minorHAnsi"/>
        </w:rPr>
        <w:t>arty, when provided via electronic transmission system, on the same Business Day provided that such email was transmitted during or before normal business hours on the Business Day in question.</w:t>
      </w:r>
      <w:r w:rsidRPr="001D27C6">
        <w:rPr>
          <w:rFonts w:cstheme="minorHAnsi"/>
          <w:szCs w:val="24"/>
        </w:rPr>
        <w:t xml:space="preserve"> </w:t>
      </w:r>
      <w:proofErr w:type="gramStart"/>
      <w:r w:rsidRPr="001D27C6">
        <w:rPr>
          <w:rFonts w:cstheme="minorHAnsi"/>
          <w:szCs w:val="24"/>
        </w:rPr>
        <w:t>Otherwise</w:t>
      </w:r>
      <w:proofErr w:type="gramEnd"/>
      <w:r w:rsidRPr="001D27C6">
        <w:rPr>
          <w:rFonts w:cstheme="minorHAnsi"/>
          <w:szCs w:val="24"/>
        </w:rPr>
        <w:t xml:space="preserve"> it shall be deemed to have been received the next Business Day following the date of transmission. </w:t>
      </w:r>
    </w:p>
    <w:p w14:paraId="4D6DDC7B" w14:textId="12E44DA1" w:rsidR="00057084" w:rsidRPr="001D27C6" w:rsidRDefault="00057084">
      <w:pPr>
        <w:pStyle w:val="ListParagraph"/>
        <w:widowControl w:val="0"/>
        <w:numPr>
          <w:ilvl w:val="1"/>
          <w:numId w:val="32"/>
        </w:numPr>
        <w:suppressAutoHyphens/>
        <w:spacing w:before="120" w:after="120" w:line="360" w:lineRule="auto"/>
        <w:ind w:left="426" w:hanging="568"/>
        <w:jc w:val="both"/>
        <w:rPr>
          <w:rFonts w:cstheme="minorHAnsi"/>
        </w:rPr>
      </w:pPr>
      <w:r w:rsidRPr="001D27C6">
        <w:rPr>
          <w:rFonts w:cstheme="minorHAnsi"/>
        </w:rPr>
        <w:t xml:space="preserve">Any notice which requires a response from its recipient within a fixed </w:t>
      </w:r>
      <w:proofErr w:type="gramStart"/>
      <w:r w:rsidRPr="001D27C6">
        <w:rPr>
          <w:rFonts w:cstheme="minorHAnsi"/>
        </w:rPr>
        <w:t>time period</w:t>
      </w:r>
      <w:proofErr w:type="gramEnd"/>
      <w:r w:rsidRPr="001D27C6">
        <w:rPr>
          <w:rFonts w:cstheme="minorHAnsi"/>
        </w:rPr>
        <w:t xml:space="preserve"> shall be sent by </w:t>
      </w:r>
      <w:r w:rsidRPr="001D27C6">
        <w:rPr>
          <w:rFonts w:cstheme="minorHAnsi"/>
        </w:rPr>
        <w:lastRenderedPageBreak/>
        <w:t>hand or registered or recorded delivery post or e-mail and shall be deemed to have been received:</w:t>
      </w:r>
    </w:p>
    <w:p w14:paraId="0AB02A09" w14:textId="77777777" w:rsidR="00057084" w:rsidRPr="001D27C6" w:rsidRDefault="00057084">
      <w:pPr>
        <w:pStyle w:val="ListParagraph"/>
        <w:widowControl w:val="0"/>
        <w:numPr>
          <w:ilvl w:val="1"/>
          <w:numId w:val="33"/>
        </w:numPr>
        <w:suppressAutoHyphens/>
        <w:spacing w:before="120" w:after="120" w:line="360" w:lineRule="auto"/>
        <w:ind w:hanging="83"/>
        <w:jc w:val="both"/>
        <w:rPr>
          <w:rFonts w:cstheme="minorHAnsi"/>
        </w:rPr>
      </w:pPr>
      <w:r w:rsidRPr="001D27C6">
        <w:rPr>
          <w:rFonts w:cstheme="minorHAnsi"/>
        </w:rPr>
        <w:t>in the case of delivery by hand, when delivered; or</w:t>
      </w:r>
    </w:p>
    <w:p w14:paraId="23495C76" w14:textId="77777777" w:rsidR="00057084" w:rsidRPr="001D27C6" w:rsidRDefault="00057084">
      <w:pPr>
        <w:pStyle w:val="ListParagraph"/>
        <w:widowControl w:val="0"/>
        <w:numPr>
          <w:ilvl w:val="1"/>
          <w:numId w:val="33"/>
        </w:numPr>
        <w:suppressAutoHyphens/>
        <w:spacing w:before="120" w:after="120" w:line="360" w:lineRule="auto"/>
        <w:ind w:hanging="83"/>
        <w:jc w:val="both"/>
        <w:rPr>
          <w:rFonts w:cstheme="minorHAnsi"/>
        </w:rPr>
      </w:pPr>
      <w:r w:rsidRPr="001D27C6">
        <w:rPr>
          <w:rFonts w:cstheme="minorHAnsi"/>
        </w:rPr>
        <w:t>in the case of delivery by registered or recorded delivery post, at the time and date recorded at delivery; or</w:t>
      </w:r>
    </w:p>
    <w:p w14:paraId="506CCF64" w14:textId="77777777" w:rsidR="00057084" w:rsidRPr="001D27C6" w:rsidRDefault="00057084">
      <w:pPr>
        <w:pStyle w:val="ListParagraph"/>
        <w:widowControl w:val="0"/>
        <w:numPr>
          <w:ilvl w:val="1"/>
          <w:numId w:val="33"/>
        </w:numPr>
        <w:suppressAutoHyphens/>
        <w:spacing w:before="120" w:after="120" w:line="360" w:lineRule="auto"/>
        <w:ind w:hanging="83"/>
        <w:jc w:val="both"/>
        <w:rPr>
          <w:rFonts w:cstheme="minorHAnsi"/>
        </w:rPr>
      </w:pPr>
      <w:r w:rsidRPr="001D27C6">
        <w:rPr>
          <w:rFonts w:cstheme="minorHAnsi"/>
        </w:rPr>
        <w:t xml:space="preserve">in the case of email delivery, when delivered via electronic transmission system to the valid email address of the other </w:t>
      </w:r>
      <w:r w:rsidR="005509A6" w:rsidRPr="001D27C6">
        <w:rPr>
          <w:rFonts w:cstheme="minorHAnsi"/>
        </w:rPr>
        <w:t>p</w:t>
      </w:r>
      <w:r w:rsidRPr="001D27C6">
        <w:rPr>
          <w:rFonts w:cstheme="minorHAnsi"/>
        </w:rPr>
        <w:t>arty,</w:t>
      </w:r>
    </w:p>
    <w:p w14:paraId="795D15D4" w14:textId="77777777" w:rsidR="00057084" w:rsidRPr="001D27C6" w:rsidRDefault="00057084" w:rsidP="00F15159">
      <w:pPr>
        <w:pStyle w:val="ListParagraph"/>
        <w:widowControl w:val="0"/>
        <w:suppressAutoHyphens/>
        <w:spacing w:before="120" w:after="120" w:line="360" w:lineRule="auto"/>
        <w:ind w:left="426"/>
        <w:jc w:val="both"/>
        <w:rPr>
          <w:rFonts w:cstheme="minorHAnsi"/>
        </w:rPr>
      </w:pPr>
      <w:r w:rsidRPr="001D27C6">
        <w:rPr>
          <w:rFonts w:cstheme="minorHAnsi"/>
        </w:rPr>
        <w:t>and the calculation of any periods required for response shall run from such delivery date, provided that such delivery falls into the Business Day, failing which the first Business Day following the date of transmission shall apply.</w:t>
      </w:r>
    </w:p>
    <w:p w14:paraId="031B5271" w14:textId="77777777" w:rsidR="00057084" w:rsidRPr="001D27C6" w:rsidRDefault="00057084" w:rsidP="00057084">
      <w:pPr>
        <w:pStyle w:val="BodyText"/>
        <w:widowControl w:val="0"/>
        <w:numPr>
          <w:ilvl w:val="1"/>
          <w:numId w:val="0"/>
        </w:numPr>
        <w:tabs>
          <w:tab w:val="num" w:pos="284"/>
        </w:tabs>
        <w:spacing w:after="0"/>
        <w:ind w:left="567" w:hanging="567"/>
        <w:jc w:val="center"/>
        <w:rPr>
          <w:rFonts w:asciiTheme="minorHAnsi" w:hAnsiTheme="minorHAnsi" w:cstheme="minorHAnsi"/>
          <w:szCs w:val="24"/>
          <w:highlight w:val="green"/>
          <w:lang w:val="en-US"/>
        </w:rPr>
      </w:pPr>
    </w:p>
    <w:p w14:paraId="4A36663B" w14:textId="77777777" w:rsidR="00057084" w:rsidRPr="001D27C6" w:rsidRDefault="004625AA" w:rsidP="00057084">
      <w:pPr>
        <w:pStyle w:val="Heading1"/>
        <w:spacing w:after="160"/>
      </w:pPr>
      <w:bookmarkStart w:id="50" w:name="_Toc58000411"/>
      <w:bookmarkStart w:id="51" w:name="_Toc71289531"/>
      <w:bookmarkStart w:id="52" w:name="_Toc119485260"/>
      <w:r w:rsidRPr="001D27C6">
        <w:t xml:space="preserve">Article </w:t>
      </w:r>
      <w:r w:rsidR="00E4105A" w:rsidRPr="001D27C6">
        <w:t>9</w:t>
      </w:r>
      <w:r w:rsidRPr="001D27C6">
        <w:t xml:space="preserve"> - </w:t>
      </w:r>
      <w:r w:rsidR="00057084" w:rsidRPr="001D27C6">
        <w:t>Force Majeure</w:t>
      </w:r>
      <w:bookmarkEnd w:id="50"/>
      <w:bookmarkEnd w:id="51"/>
      <w:bookmarkEnd w:id="52"/>
    </w:p>
    <w:p w14:paraId="23FCD395" w14:textId="77777777" w:rsidR="00AD42A0" w:rsidRPr="001D27C6" w:rsidRDefault="005A6434" w:rsidP="003B0078">
      <w:pPr>
        <w:pStyle w:val="ListParagraph"/>
        <w:widowControl w:val="0"/>
        <w:suppressAutoHyphens/>
        <w:spacing w:before="120" w:after="120" w:line="360" w:lineRule="auto"/>
        <w:ind w:left="426"/>
        <w:jc w:val="both"/>
        <w:rPr>
          <w:rFonts w:cstheme="minorHAnsi"/>
        </w:rPr>
      </w:pPr>
      <w:r w:rsidRPr="001D27C6">
        <w:rPr>
          <w:rFonts w:cstheme="minorHAnsi"/>
        </w:rPr>
        <w:t xml:space="preserve">“Force Majeure” </w:t>
      </w:r>
      <w:r w:rsidR="00D46D4E" w:rsidRPr="001D27C6">
        <w:rPr>
          <w:rFonts w:cstheme="minorHAnsi"/>
        </w:rPr>
        <w:t>shall have the meaning assigned to it in</w:t>
      </w:r>
      <w:r w:rsidRPr="001D27C6">
        <w:rPr>
          <w:rFonts w:cstheme="minorHAnsi"/>
        </w:rPr>
        <w:t xml:space="preserve"> art</w:t>
      </w:r>
      <w:r w:rsidR="00D46D4E" w:rsidRPr="001D27C6">
        <w:rPr>
          <w:rFonts w:cstheme="minorHAnsi"/>
        </w:rPr>
        <w:t>icle</w:t>
      </w:r>
      <w:r w:rsidRPr="001D27C6">
        <w:rPr>
          <w:rFonts w:cstheme="minorHAnsi"/>
        </w:rPr>
        <w:t xml:space="preserve"> 104 of </w:t>
      </w:r>
      <w:r w:rsidR="0098660D" w:rsidRPr="001D27C6">
        <w:rPr>
          <w:rFonts w:cstheme="minorHAnsi"/>
        </w:rPr>
        <w:t xml:space="preserve">DESFA’s </w:t>
      </w:r>
      <w:r w:rsidR="00D46D4E" w:rsidRPr="001D27C6">
        <w:rPr>
          <w:rFonts w:cstheme="minorHAnsi"/>
        </w:rPr>
        <w:t xml:space="preserve">National Natural Gas System </w:t>
      </w:r>
      <w:r w:rsidRPr="001D27C6">
        <w:rPr>
          <w:rFonts w:cstheme="minorHAnsi"/>
        </w:rPr>
        <w:t>Network Code</w:t>
      </w:r>
      <w:r w:rsidR="003B0078">
        <w:rPr>
          <w:rFonts w:cstheme="minorHAnsi"/>
        </w:rPr>
        <w:t>.</w:t>
      </w:r>
      <w:r w:rsidRPr="001D27C6">
        <w:rPr>
          <w:rFonts w:cstheme="minorHAnsi"/>
        </w:rPr>
        <w:t xml:space="preserve"> </w:t>
      </w:r>
    </w:p>
    <w:p w14:paraId="354DC60F" w14:textId="77777777" w:rsidR="005509A6" w:rsidRPr="001D27C6" w:rsidRDefault="005509A6" w:rsidP="00057084">
      <w:pPr>
        <w:spacing w:after="0"/>
        <w:jc w:val="both"/>
        <w:rPr>
          <w:rFonts w:cstheme="minorHAnsi"/>
          <w:sz w:val="24"/>
          <w:szCs w:val="24"/>
        </w:rPr>
      </w:pPr>
    </w:p>
    <w:p w14:paraId="03B3F981" w14:textId="77777777" w:rsidR="00057084" w:rsidRPr="001D27C6" w:rsidRDefault="004625AA" w:rsidP="00057084">
      <w:pPr>
        <w:pStyle w:val="Heading1"/>
        <w:spacing w:after="160"/>
      </w:pPr>
      <w:bookmarkStart w:id="53" w:name="_Toc58000412"/>
      <w:bookmarkStart w:id="54" w:name="_Toc71289532"/>
      <w:bookmarkStart w:id="55" w:name="_Toc119485261"/>
      <w:r w:rsidRPr="001D27C6">
        <w:t xml:space="preserve">Article </w:t>
      </w:r>
      <w:r w:rsidR="004F1639" w:rsidRPr="001D27C6">
        <w:t xml:space="preserve">10 </w:t>
      </w:r>
      <w:r w:rsidRPr="001D27C6">
        <w:t xml:space="preserve">- </w:t>
      </w:r>
      <w:r w:rsidR="00057084" w:rsidRPr="001D27C6">
        <w:t>Liability</w:t>
      </w:r>
      <w:bookmarkEnd w:id="53"/>
      <w:bookmarkEnd w:id="54"/>
      <w:bookmarkEnd w:id="55"/>
    </w:p>
    <w:p w14:paraId="2A778B5A" w14:textId="77777777" w:rsidR="00057084" w:rsidRPr="001D27C6" w:rsidRDefault="00057084" w:rsidP="00AF76AD">
      <w:pPr>
        <w:pStyle w:val="ListParagraph"/>
        <w:widowControl w:val="0"/>
        <w:suppressAutoHyphens/>
        <w:spacing w:before="120" w:after="120" w:line="360" w:lineRule="auto"/>
        <w:ind w:left="426"/>
        <w:jc w:val="both"/>
        <w:rPr>
          <w:rFonts w:cstheme="minorHAnsi"/>
        </w:rPr>
      </w:pPr>
      <w:r w:rsidRPr="001D27C6">
        <w:rPr>
          <w:rFonts w:cstheme="minorHAnsi"/>
        </w:rPr>
        <w:t xml:space="preserve">No </w:t>
      </w:r>
      <w:r w:rsidR="00FA00AA" w:rsidRPr="001D27C6">
        <w:rPr>
          <w:rFonts w:cstheme="minorHAnsi"/>
        </w:rPr>
        <w:t>p</w:t>
      </w:r>
      <w:r w:rsidRPr="001D27C6">
        <w:rPr>
          <w:rFonts w:cstheme="minorHAnsi"/>
        </w:rPr>
        <w:t xml:space="preserve">arty shall be liable to the other </w:t>
      </w:r>
      <w:r w:rsidR="00FA00AA" w:rsidRPr="001D27C6">
        <w:rPr>
          <w:rFonts w:cstheme="minorHAnsi"/>
        </w:rPr>
        <w:t>p</w:t>
      </w:r>
      <w:r w:rsidRPr="001D27C6">
        <w:rPr>
          <w:rFonts w:cstheme="minorHAnsi"/>
        </w:rPr>
        <w:t xml:space="preserve">arties for any damage arising out of or in connection with this </w:t>
      </w:r>
      <w:r w:rsidR="00FA00AA" w:rsidRPr="001D27C6">
        <w:rPr>
          <w:rFonts w:cstheme="minorHAnsi"/>
        </w:rPr>
        <w:t>i</w:t>
      </w:r>
      <w:r w:rsidR="006559F3" w:rsidRPr="001D27C6">
        <w:rPr>
          <w:rFonts w:cstheme="minorHAnsi"/>
        </w:rPr>
        <w:t xml:space="preserve">ncremental </w:t>
      </w:r>
      <w:r w:rsidR="00FA00AA" w:rsidRPr="001D27C6">
        <w:rPr>
          <w:rFonts w:cstheme="minorHAnsi"/>
        </w:rPr>
        <w:t>c</w:t>
      </w:r>
      <w:r w:rsidR="006559F3" w:rsidRPr="001D27C6">
        <w:rPr>
          <w:rFonts w:cstheme="minorHAnsi"/>
        </w:rPr>
        <w:t xml:space="preserve">apacity </w:t>
      </w:r>
      <w:r w:rsidR="00FA00AA" w:rsidRPr="001D27C6">
        <w:rPr>
          <w:rFonts w:cstheme="minorHAnsi"/>
        </w:rPr>
        <w:t>p</w:t>
      </w:r>
      <w:r w:rsidR="006559F3" w:rsidRPr="001D27C6">
        <w:rPr>
          <w:rFonts w:cstheme="minorHAnsi"/>
        </w:rPr>
        <w:t xml:space="preserve">rocess </w:t>
      </w:r>
      <w:r w:rsidRPr="001D27C6">
        <w:rPr>
          <w:rFonts w:cstheme="minorHAnsi"/>
        </w:rPr>
        <w:t xml:space="preserve">unless such damage is the result of a willful misconduct or arises from the gross negligence of the Party concerned. For the avoidance of doubt, the right of DESFA to terminate the </w:t>
      </w:r>
      <w:r w:rsidR="005E2FA0" w:rsidRPr="001D27C6">
        <w:rPr>
          <w:rFonts w:cstheme="minorHAnsi"/>
        </w:rPr>
        <w:t>I</w:t>
      </w:r>
      <w:r w:rsidR="00D40BCE" w:rsidRPr="001D27C6">
        <w:rPr>
          <w:rFonts w:cstheme="minorHAnsi"/>
        </w:rPr>
        <w:t xml:space="preserve">ncremental </w:t>
      </w:r>
      <w:r w:rsidR="005E2FA0" w:rsidRPr="001D27C6">
        <w:rPr>
          <w:rFonts w:cstheme="minorHAnsi"/>
        </w:rPr>
        <w:t>C</w:t>
      </w:r>
      <w:r w:rsidR="00D40BCE" w:rsidRPr="001D27C6">
        <w:rPr>
          <w:rFonts w:cstheme="minorHAnsi"/>
        </w:rPr>
        <w:t xml:space="preserve">apacity </w:t>
      </w:r>
      <w:r w:rsidR="005E2FA0" w:rsidRPr="001D27C6">
        <w:rPr>
          <w:rFonts w:cstheme="minorHAnsi"/>
        </w:rPr>
        <w:t>P</w:t>
      </w:r>
      <w:r w:rsidR="00D40BCE" w:rsidRPr="001D27C6">
        <w:rPr>
          <w:rFonts w:cstheme="minorHAnsi"/>
        </w:rPr>
        <w:t xml:space="preserve">rocess </w:t>
      </w:r>
      <w:r w:rsidRPr="001D27C6">
        <w:rPr>
          <w:rFonts w:cstheme="minorHAnsi"/>
        </w:rPr>
        <w:t xml:space="preserve">pursuant to </w:t>
      </w:r>
      <w:r w:rsidR="00C70053" w:rsidRPr="001D27C6">
        <w:rPr>
          <w:rFonts w:cstheme="minorHAnsi"/>
        </w:rPr>
        <w:t>the provisions of the Project Proposal</w:t>
      </w:r>
      <w:r w:rsidRPr="001D27C6">
        <w:rPr>
          <w:rFonts w:cstheme="minorHAnsi"/>
        </w:rPr>
        <w:t>, does not give rise to any liability whatsoever on the part of DESFA.</w:t>
      </w:r>
    </w:p>
    <w:p w14:paraId="4729CC18" w14:textId="77777777" w:rsidR="00057084" w:rsidRPr="001D27C6" w:rsidRDefault="00057084" w:rsidP="00057084">
      <w:pPr>
        <w:spacing w:after="120"/>
        <w:jc w:val="both"/>
        <w:rPr>
          <w:rFonts w:cstheme="minorHAnsi"/>
          <w:sz w:val="24"/>
          <w:szCs w:val="24"/>
        </w:rPr>
      </w:pPr>
      <w:bookmarkStart w:id="56" w:name="_Hlk57659660"/>
    </w:p>
    <w:p w14:paraId="29878ABD" w14:textId="77777777" w:rsidR="00057084" w:rsidRPr="001D27C6" w:rsidRDefault="004625AA" w:rsidP="00057084">
      <w:pPr>
        <w:pStyle w:val="Heading1"/>
        <w:spacing w:after="160"/>
        <w:rPr>
          <w:rFonts w:eastAsia="Verdana,Bold"/>
        </w:rPr>
      </w:pPr>
      <w:bookmarkStart w:id="57" w:name="_Toc58000414"/>
      <w:bookmarkStart w:id="58" w:name="_Toc71289534"/>
      <w:bookmarkStart w:id="59" w:name="_Toc119485262"/>
      <w:bookmarkEnd w:id="56"/>
      <w:r w:rsidRPr="001D27C6">
        <w:t xml:space="preserve">Article </w:t>
      </w:r>
      <w:r w:rsidR="002C38C0" w:rsidRPr="001D27C6">
        <w:t xml:space="preserve">11 </w:t>
      </w:r>
      <w:r w:rsidRPr="001D27C6">
        <w:t xml:space="preserve">- </w:t>
      </w:r>
      <w:r w:rsidR="00057084" w:rsidRPr="001D27C6">
        <w:rPr>
          <w:rFonts w:eastAsia="Verdana,Bold"/>
        </w:rPr>
        <w:t>Anti-Bribery Policy</w:t>
      </w:r>
      <w:bookmarkEnd w:id="57"/>
      <w:bookmarkEnd w:id="58"/>
      <w:bookmarkEnd w:id="59"/>
      <w:r w:rsidR="00057084" w:rsidRPr="001D27C6">
        <w:rPr>
          <w:rFonts w:eastAsia="Verdana,Bold"/>
        </w:rPr>
        <w:t xml:space="preserve"> </w:t>
      </w:r>
    </w:p>
    <w:p w14:paraId="4FE23C37" w14:textId="1E473304" w:rsidR="00057084" w:rsidRPr="001D27C6" w:rsidRDefault="00057084" w:rsidP="004F1639">
      <w:pPr>
        <w:pStyle w:val="ListParagraph"/>
        <w:widowControl w:val="0"/>
        <w:suppressAutoHyphens/>
        <w:spacing w:before="120" w:after="120" w:line="360" w:lineRule="auto"/>
        <w:ind w:left="426"/>
        <w:jc w:val="both"/>
        <w:rPr>
          <w:rFonts w:cstheme="minorHAnsi"/>
        </w:rPr>
      </w:pPr>
      <w:bookmarkStart w:id="60" w:name="_Toc48322661"/>
      <w:r w:rsidRPr="001D27C6">
        <w:rPr>
          <w:rFonts w:cstheme="minorHAnsi"/>
        </w:rPr>
        <w:t>Participants acknowledge DESFA’s Code of Ethics (the “Code”), as published on DESFA’s site</w:t>
      </w:r>
      <w:r w:rsidR="006B0869">
        <w:rPr>
          <w:rStyle w:val="FootnoteReference"/>
          <w:rFonts w:cstheme="minorHAnsi"/>
        </w:rPr>
        <w:footnoteReference w:id="3"/>
      </w:r>
      <w:r w:rsidRPr="001D27C6">
        <w:rPr>
          <w:rFonts w:cstheme="minorHAnsi"/>
        </w:rPr>
        <w:t xml:space="preserve">, which shall be fully applicable to this </w:t>
      </w:r>
      <w:r w:rsidR="00BE278D" w:rsidRPr="001D27C6">
        <w:rPr>
          <w:rFonts w:cstheme="minorHAnsi"/>
        </w:rPr>
        <w:t>i</w:t>
      </w:r>
      <w:r w:rsidR="00832B6A" w:rsidRPr="001D27C6">
        <w:rPr>
          <w:rFonts w:cstheme="minorHAnsi"/>
        </w:rPr>
        <w:t xml:space="preserve">ncremental </w:t>
      </w:r>
      <w:r w:rsidR="00BE278D" w:rsidRPr="001D27C6">
        <w:rPr>
          <w:rFonts w:cstheme="minorHAnsi"/>
        </w:rPr>
        <w:t>c</w:t>
      </w:r>
      <w:r w:rsidR="00832B6A" w:rsidRPr="001D27C6">
        <w:rPr>
          <w:rFonts w:cstheme="minorHAnsi"/>
        </w:rPr>
        <w:t xml:space="preserve">apacity </w:t>
      </w:r>
      <w:r w:rsidR="00BE278D" w:rsidRPr="001D27C6">
        <w:rPr>
          <w:rFonts w:cstheme="minorHAnsi"/>
        </w:rPr>
        <w:t>p</w:t>
      </w:r>
      <w:r w:rsidR="00832B6A" w:rsidRPr="001D27C6">
        <w:rPr>
          <w:rFonts w:cstheme="minorHAnsi"/>
        </w:rPr>
        <w:t>rocess</w:t>
      </w:r>
      <w:r w:rsidRPr="001D27C6">
        <w:rPr>
          <w:rFonts w:cstheme="minorHAnsi"/>
        </w:rPr>
        <w:t xml:space="preserve">, and the Participants shall comply with the relevant provisions of the Code, including conflicts of interest. Participants further acknowledge that DESFA’s Anticorruption Policy, as published on DESFA’s site, shall be applicable to them and that they shall comply with its provisions. Participants shall not violate or knowingly permit anyone to violate the Code’s prohibition on bribery or any applicable anti-corruption laws, regulations, </w:t>
      </w:r>
      <w:proofErr w:type="gramStart"/>
      <w:r w:rsidRPr="001D27C6">
        <w:rPr>
          <w:rFonts w:cstheme="minorHAnsi"/>
        </w:rPr>
        <w:t>policies</w:t>
      </w:r>
      <w:proofErr w:type="gramEnd"/>
      <w:r w:rsidRPr="001D27C6">
        <w:rPr>
          <w:rFonts w:cstheme="minorHAnsi"/>
        </w:rPr>
        <w:t xml:space="preserve"> and procedures in participating in this </w:t>
      </w:r>
      <w:r w:rsidR="00BE278D" w:rsidRPr="001D27C6">
        <w:rPr>
          <w:rFonts w:cstheme="minorHAnsi"/>
        </w:rPr>
        <w:t>i</w:t>
      </w:r>
      <w:r w:rsidR="00832B6A" w:rsidRPr="001D27C6">
        <w:rPr>
          <w:rFonts w:cstheme="minorHAnsi"/>
        </w:rPr>
        <w:t xml:space="preserve">ncremental </w:t>
      </w:r>
      <w:r w:rsidR="00BE278D" w:rsidRPr="001D27C6">
        <w:rPr>
          <w:rFonts w:cstheme="minorHAnsi"/>
        </w:rPr>
        <w:t>c</w:t>
      </w:r>
      <w:r w:rsidR="00832B6A" w:rsidRPr="001D27C6">
        <w:rPr>
          <w:rFonts w:cstheme="minorHAnsi"/>
        </w:rPr>
        <w:t xml:space="preserve">apacity </w:t>
      </w:r>
      <w:r w:rsidR="00BE278D" w:rsidRPr="001D27C6">
        <w:rPr>
          <w:rFonts w:cstheme="minorHAnsi"/>
        </w:rPr>
        <w:lastRenderedPageBreak/>
        <w:t>p</w:t>
      </w:r>
      <w:r w:rsidR="00832B6A" w:rsidRPr="001D27C6">
        <w:rPr>
          <w:rFonts w:cstheme="minorHAnsi"/>
        </w:rPr>
        <w:t>rocess</w:t>
      </w:r>
      <w:r w:rsidRPr="001D27C6">
        <w:rPr>
          <w:rFonts w:cstheme="minorHAnsi"/>
        </w:rPr>
        <w:t>. If any Participant breaches this Article, DESFA may immediately reject its participation.</w:t>
      </w:r>
      <w:bookmarkEnd w:id="60"/>
    </w:p>
    <w:p w14:paraId="352CF5BA" w14:textId="77777777" w:rsidR="00057084" w:rsidRPr="001D27C6" w:rsidRDefault="00057084" w:rsidP="00057084">
      <w:pPr>
        <w:autoSpaceDE w:val="0"/>
        <w:autoSpaceDN w:val="0"/>
        <w:adjustRightInd w:val="0"/>
        <w:spacing w:after="0" w:line="240" w:lineRule="auto"/>
        <w:jc w:val="both"/>
        <w:rPr>
          <w:rFonts w:cstheme="minorHAnsi"/>
          <w:sz w:val="24"/>
          <w:szCs w:val="24"/>
          <w:highlight w:val="green"/>
          <w:lang w:val="en-GB"/>
        </w:rPr>
      </w:pPr>
    </w:p>
    <w:p w14:paraId="18DBC20E" w14:textId="77777777" w:rsidR="00057084" w:rsidRPr="001D27C6" w:rsidRDefault="004625AA" w:rsidP="00057084">
      <w:pPr>
        <w:pStyle w:val="Heading1"/>
        <w:spacing w:after="160"/>
      </w:pPr>
      <w:bookmarkStart w:id="61" w:name="_Toc58000415"/>
      <w:bookmarkStart w:id="62" w:name="_Toc71289535"/>
      <w:bookmarkStart w:id="63" w:name="_Toc119485263"/>
      <w:r w:rsidRPr="001D27C6">
        <w:t xml:space="preserve">Article </w:t>
      </w:r>
      <w:r w:rsidR="00314341" w:rsidRPr="001D27C6">
        <w:t xml:space="preserve">12 </w:t>
      </w:r>
      <w:r w:rsidRPr="001D27C6">
        <w:t xml:space="preserve">- </w:t>
      </w:r>
      <w:r w:rsidR="00057084" w:rsidRPr="001D27C6">
        <w:t>Personal Data</w:t>
      </w:r>
      <w:bookmarkEnd w:id="61"/>
      <w:bookmarkEnd w:id="62"/>
      <w:bookmarkEnd w:id="63"/>
    </w:p>
    <w:p w14:paraId="41B052A0" w14:textId="77777777" w:rsidR="00057084" w:rsidRPr="001D27C6" w:rsidRDefault="00057084" w:rsidP="004F1639">
      <w:pPr>
        <w:pStyle w:val="ListParagraph"/>
        <w:widowControl w:val="0"/>
        <w:suppressAutoHyphens/>
        <w:spacing w:before="120" w:after="120" w:line="360" w:lineRule="auto"/>
        <w:ind w:left="426"/>
        <w:jc w:val="both"/>
        <w:rPr>
          <w:rFonts w:cstheme="minorHAnsi"/>
        </w:rPr>
      </w:pPr>
      <w:r w:rsidRPr="001D27C6">
        <w:rPr>
          <w:rFonts w:cstheme="minorHAnsi"/>
        </w:rPr>
        <w:t xml:space="preserve">DESFA and Participants shall process personal data exchanged during the </w:t>
      </w:r>
      <w:r w:rsidR="00DD691D" w:rsidRPr="001D27C6">
        <w:rPr>
          <w:rFonts w:cstheme="minorHAnsi"/>
        </w:rPr>
        <w:t xml:space="preserve">Incremental Capacity Process </w:t>
      </w:r>
      <w:r w:rsidRPr="001D27C6">
        <w:rPr>
          <w:rFonts w:cstheme="minorHAnsi"/>
        </w:rPr>
        <w:t xml:space="preserve">and for its purpose (hereinafter referred to as "Personal Data") in accordance with the provisions of applicable legislation and today those of Regulation 2016/679/EU (hereinafter "General Regulation"). Personal data shall not be transmitted, </w:t>
      </w:r>
      <w:proofErr w:type="gramStart"/>
      <w:r w:rsidRPr="001D27C6">
        <w:rPr>
          <w:rFonts w:cstheme="minorHAnsi"/>
        </w:rPr>
        <w:t>disclosed</w:t>
      </w:r>
      <w:proofErr w:type="gramEnd"/>
      <w:r w:rsidRPr="001D27C6">
        <w:rPr>
          <w:rFonts w:cstheme="minorHAnsi"/>
        </w:rPr>
        <w:t xml:space="preserve"> or communicated to third parties, nor shall they be subject to any other processing for purposes other than conduct of the </w:t>
      </w:r>
      <w:r w:rsidR="00DD691D" w:rsidRPr="001D27C6">
        <w:rPr>
          <w:rFonts w:cstheme="minorHAnsi"/>
        </w:rPr>
        <w:t>Incremental Capacity Process</w:t>
      </w:r>
      <w:r w:rsidRPr="001D27C6">
        <w:rPr>
          <w:rFonts w:cstheme="minorHAnsi"/>
        </w:rPr>
        <w:t>, except in cases of legal obligation or explicit consent of the data subject. Participants declare to have implemented relative data protection measures in compliance with the General Regulation. DESFA has implemented the data protection policy publicly available on DESFA’s corporate website</w:t>
      </w:r>
      <w:r w:rsidRPr="001D27C6">
        <w:rPr>
          <w:rFonts w:cstheme="minorHAnsi"/>
          <w:vertAlign w:val="superscript"/>
        </w:rPr>
        <w:footnoteReference w:id="4"/>
      </w:r>
      <w:r w:rsidRPr="001D27C6">
        <w:rPr>
          <w:rFonts w:cstheme="minorHAnsi"/>
        </w:rPr>
        <w:t>.</w:t>
      </w:r>
      <w:r w:rsidR="00DD691D" w:rsidRPr="001D27C6">
        <w:rPr>
          <w:rFonts w:cstheme="minorHAnsi"/>
        </w:rPr>
        <w:t xml:space="preserve"> </w:t>
      </w:r>
    </w:p>
    <w:p w14:paraId="245E9F2A" w14:textId="77777777" w:rsidR="00057084" w:rsidRPr="001D27C6" w:rsidRDefault="00057084" w:rsidP="00057084">
      <w:pPr>
        <w:tabs>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567" w:hanging="567"/>
        <w:jc w:val="both"/>
        <w:rPr>
          <w:rFonts w:cstheme="minorHAnsi"/>
          <w:sz w:val="24"/>
          <w:szCs w:val="24"/>
        </w:rPr>
      </w:pPr>
    </w:p>
    <w:p w14:paraId="5D0CDC55" w14:textId="77777777" w:rsidR="00057084" w:rsidRPr="001D27C6" w:rsidRDefault="004625AA" w:rsidP="00057084">
      <w:pPr>
        <w:pStyle w:val="Heading1"/>
        <w:spacing w:after="160"/>
      </w:pPr>
      <w:bookmarkStart w:id="64" w:name="_Toc58000416"/>
      <w:bookmarkStart w:id="65" w:name="_Toc71289536"/>
      <w:bookmarkStart w:id="66" w:name="_Toc119485264"/>
      <w:r w:rsidRPr="001D27C6">
        <w:t xml:space="preserve">Article </w:t>
      </w:r>
      <w:r w:rsidR="00314341" w:rsidRPr="001D27C6">
        <w:t xml:space="preserve">13 </w:t>
      </w:r>
      <w:r w:rsidRPr="001D27C6">
        <w:t xml:space="preserve">- </w:t>
      </w:r>
      <w:r w:rsidR="00057084" w:rsidRPr="001D27C6">
        <w:t>Governing Law and Dispute resolution</w:t>
      </w:r>
      <w:bookmarkEnd w:id="64"/>
      <w:bookmarkEnd w:id="65"/>
      <w:bookmarkEnd w:id="66"/>
    </w:p>
    <w:p w14:paraId="516D8D0F" w14:textId="77777777" w:rsidR="007D23C9" w:rsidRPr="001D27C6" w:rsidRDefault="000632C5" w:rsidP="00D6254A">
      <w:pPr>
        <w:pStyle w:val="ListParagraph"/>
        <w:widowControl w:val="0"/>
        <w:suppressAutoHyphens/>
        <w:spacing w:before="120" w:after="120" w:line="360" w:lineRule="auto"/>
        <w:ind w:left="426"/>
        <w:jc w:val="both"/>
        <w:rPr>
          <w:rFonts w:cstheme="minorHAnsi"/>
          <w:sz w:val="24"/>
          <w:szCs w:val="24"/>
        </w:rPr>
      </w:pPr>
      <w:r w:rsidRPr="001D27C6">
        <w:rPr>
          <w:rFonts w:cstheme="minorHAnsi"/>
        </w:rPr>
        <w:t xml:space="preserve">For any dispute or disagreement arising out of or in connection with the Binding Bidding Phase </w:t>
      </w:r>
      <w:proofErr w:type="gramStart"/>
      <w:r w:rsidR="007735FA" w:rsidRPr="001D27C6">
        <w:rPr>
          <w:rFonts w:cstheme="minorHAnsi"/>
        </w:rPr>
        <w:t>in regard to</w:t>
      </w:r>
      <w:proofErr w:type="gramEnd"/>
      <w:r w:rsidRPr="001D27C6">
        <w:rPr>
          <w:rFonts w:cstheme="minorHAnsi"/>
        </w:rPr>
        <w:t xml:space="preserve"> </w:t>
      </w:r>
      <w:proofErr w:type="spellStart"/>
      <w:r w:rsidRPr="001D27C6">
        <w:rPr>
          <w:rFonts w:cstheme="minorHAnsi"/>
        </w:rPr>
        <w:t>Nea</w:t>
      </w:r>
      <w:proofErr w:type="spellEnd"/>
      <w:r w:rsidRPr="001D27C6">
        <w:rPr>
          <w:rFonts w:cstheme="minorHAnsi"/>
        </w:rPr>
        <w:t xml:space="preserve"> </w:t>
      </w:r>
      <w:r w:rsidR="001E39C0" w:rsidRPr="001D27C6">
        <w:rPr>
          <w:rFonts w:cstheme="minorHAnsi"/>
        </w:rPr>
        <w:t>Mesimvria</w:t>
      </w:r>
      <w:r w:rsidRPr="001D27C6">
        <w:rPr>
          <w:rFonts w:cstheme="minorHAnsi"/>
        </w:rPr>
        <w:t xml:space="preserve"> Interconnection Point in accordance with present Binding Phase Notice shall be governed by the laws of Greece. The courts exclusively competent to resolve said dispute or disagreement, which may not be amicably resolved, shall be the courts of Athens.</w:t>
      </w:r>
      <w:r w:rsidR="007D23C9" w:rsidRPr="001D27C6">
        <w:rPr>
          <w:rFonts w:cstheme="minorHAnsi"/>
          <w:sz w:val="24"/>
          <w:szCs w:val="24"/>
        </w:rPr>
        <w:br w:type="page"/>
      </w:r>
    </w:p>
    <w:p w14:paraId="72C94CAA" w14:textId="77777777" w:rsidR="00D849C6" w:rsidRPr="000E44F5" w:rsidRDefault="00D849C6" w:rsidP="000E44F5">
      <w:pPr>
        <w:pStyle w:val="Heading3"/>
        <w:pBdr>
          <w:bottom w:val="single" w:sz="4" w:space="1" w:color="auto"/>
        </w:pBdr>
        <w:rPr>
          <w:sz w:val="36"/>
          <w:szCs w:val="36"/>
        </w:rPr>
      </w:pPr>
      <w:bookmarkStart w:id="67" w:name="_Toc71289537"/>
      <w:bookmarkStart w:id="68" w:name="_Toc119485265"/>
      <w:r w:rsidRPr="000E44F5">
        <w:rPr>
          <w:sz w:val="36"/>
          <w:szCs w:val="36"/>
        </w:rPr>
        <w:lastRenderedPageBreak/>
        <w:t xml:space="preserve">Annex I </w:t>
      </w:r>
      <w:r w:rsidR="00A05B10" w:rsidRPr="000E44F5">
        <w:rPr>
          <w:sz w:val="36"/>
          <w:szCs w:val="36"/>
        </w:rPr>
        <w:t>-</w:t>
      </w:r>
      <w:r w:rsidRPr="000E44F5">
        <w:rPr>
          <w:sz w:val="36"/>
          <w:szCs w:val="36"/>
        </w:rPr>
        <w:t xml:space="preserve"> Registration Form</w:t>
      </w:r>
      <w:bookmarkEnd w:id="67"/>
      <w:bookmarkEnd w:id="68"/>
    </w:p>
    <w:tbl>
      <w:tblPr>
        <w:tblW w:w="9458" w:type="dxa"/>
        <w:tblInd w:w="-108" w:type="dxa"/>
        <w:tblLayout w:type="fixed"/>
        <w:tblLook w:val="0000" w:firstRow="0" w:lastRow="0" w:firstColumn="0" w:lastColumn="0" w:noHBand="0" w:noVBand="0"/>
      </w:tblPr>
      <w:tblGrid>
        <w:gridCol w:w="3505"/>
        <w:gridCol w:w="5953"/>
      </w:tblGrid>
      <w:tr w:rsidR="00D849C6" w:rsidRPr="001D27C6" w14:paraId="4027B0B8" w14:textId="77777777" w:rsidTr="00D849C6">
        <w:trPr>
          <w:trHeight w:val="2968"/>
        </w:trPr>
        <w:tc>
          <w:tcPr>
            <w:tcW w:w="3505" w:type="dxa"/>
          </w:tcPr>
          <w:p w14:paraId="2F8F1C41" w14:textId="77777777" w:rsidR="00D849C6" w:rsidRPr="001D27C6" w:rsidRDefault="00D849C6" w:rsidP="00D849C6">
            <w:pPr>
              <w:pStyle w:val="Default"/>
              <w:rPr>
                <w:rFonts w:asciiTheme="minorHAnsi" w:hAnsiTheme="minorHAnsi" w:cstheme="minorHAnsi"/>
                <w:sz w:val="22"/>
                <w:szCs w:val="22"/>
              </w:rPr>
            </w:pPr>
            <w:r w:rsidRPr="001D27C6">
              <w:rPr>
                <w:rFonts w:asciiTheme="minorHAnsi" w:hAnsiTheme="minorHAnsi" w:cstheme="minorHAnsi"/>
                <w:sz w:val="22"/>
                <w:szCs w:val="22"/>
              </w:rPr>
              <w:t xml:space="preserve">Send to: </w:t>
            </w:r>
          </w:p>
          <w:p w14:paraId="203BC541" w14:textId="77777777" w:rsidR="00D849C6" w:rsidRPr="001D27C6" w:rsidRDefault="00D849C6" w:rsidP="00D849C6">
            <w:pPr>
              <w:pStyle w:val="Default"/>
              <w:rPr>
                <w:rFonts w:asciiTheme="minorHAnsi" w:hAnsiTheme="minorHAnsi" w:cstheme="minorHAnsi"/>
                <w:sz w:val="22"/>
                <w:szCs w:val="22"/>
              </w:rPr>
            </w:pPr>
          </w:p>
          <w:p w14:paraId="300B07B6" w14:textId="77777777" w:rsidR="00D849C6" w:rsidRPr="001D27C6" w:rsidRDefault="00D849C6" w:rsidP="00D849C6">
            <w:pPr>
              <w:pStyle w:val="Default"/>
              <w:rPr>
                <w:rFonts w:asciiTheme="minorHAnsi" w:hAnsiTheme="minorHAnsi" w:cstheme="minorHAnsi"/>
                <w:b/>
                <w:sz w:val="22"/>
                <w:szCs w:val="22"/>
              </w:rPr>
            </w:pPr>
            <w:r w:rsidRPr="001D27C6">
              <w:rPr>
                <w:rFonts w:asciiTheme="minorHAnsi" w:hAnsiTheme="minorHAnsi" w:cstheme="minorHAnsi"/>
                <w:b/>
                <w:sz w:val="22"/>
                <w:szCs w:val="22"/>
              </w:rPr>
              <w:t>DESFA</w:t>
            </w:r>
          </w:p>
          <w:p w14:paraId="32339454" w14:textId="77777777" w:rsidR="00D849C6" w:rsidRPr="001D27C6" w:rsidRDefault="00D849C6" w:rsidP="00D849C6">
            <w:pPr>
              <w:pStyle w:val="Default"/>
              <w:rPr>
                <w:rFonts w:asciiTheme="minorHAnsi" w:hAnsiTheme="minorHAnsi" w:cstheme="minorHAnsi"/>
                <w:b/>
                <w:sz w:val="22"/>
                <w:szCs w:val="22"/>
              </w:rPr>
            </w:pPr>
            <w:r w:rsidRPr="001D27C6">
              <w:rPr>
                <w:rFonts w:asciiTheme="minorHAnsi" w:hAnsiTheme="minorHAnsi" w:cstheme="minorHAnsi"/>
                <w:b/>
                <w:sz w:val="22"/>
                <w:szCs w:val="22"/>
              </w:rPr>
              <w:t xml:space="preserve">Commercial </w:t>
            </w:r>
            <w:r w:rsidR="009E00B3" w:rsidRPr="001D27C6">
              <w:rPr>
                <w:rFonts w:asciiTheme="minorHAnsi" w:hAnsiTheme="minorHAnsi" w:cstheme="minorHAnsi"/>
                <w:b/>
                <w:sz w:val="22"/>
                <w:szCs w:val="22"/>
              </w:rPr>
              <w:t xml:space="preserve">Services </w:t>
            </w:r>
            <w:r w:rsidRPr="001D27C6">
              <w:rPr>
                <w:rFonts w:asciiTheme="minorHAnsi" w:hAnsiTheme="minorHAnsi" w:cstheme="minorHAnsi"/>
                <w:b/>
                <w:sz w:val="22"/>
                <w:szCs w:val="22"/>
              </w:rPr>
              <w:t>Division</w:t>
            </w:r>
          </w:p>
          <w:p w14:paraId="7FCE31BB" w14:textId="77777777" w:rsidR="00D849C6" w:rsidRPr="001D27C6" w:rsidRDefault="00000000" w:rsidP="00D849C6">
            <w:pPr>
              <w:pStyle w:val="Default"/>
              <w:rPr>
                <w:rFonts w:asciiTheme="minorHAnsi" w:hAnsiTheme="minorHAnsi" w:cstheme="minorHAnsi"/>
                <w:sz w:val="22"/>
                <w:szCs w:val="22"/>
              </w:rPr>
            </w:pPr>
            <w:hyperlink r:id="rId19" w:history="1">
              <w:r w:rsidR="009E00B3" w:rsidRPr="001D27C6">
                <w:rPr>
                  <w:rStyle w:val="Hyperlink"/>
                  <w:rFonts w:asciiTheme="minorHAnsi" w:hAnsiTheme="minorHAnsi" w:cstheme="minorHAnsi"/>
                  <w:sz w:val="22"/>
                  <w:szCs w:val="22"/>
                </w:rPr>
                <w:t>market-test@DESFA.GR</w:t>
              </w:r>
            </w:hyperlink>
            <w:r w:rsidR="009E00B3" w:rsidRPr="001D27C6">
              <w:rPr>
                <w:rFonts w:asciiTheme="minorHAnsi" w:hAnsiTheme="minorHAnsi" w:cstheme="minorHAnsi"/>
                <w:sz w:val="22"/>
                <w:szCs w:val="22"/>
              </w:rPr>
              <w:t xml:space="preserve"> </w:t>
            </w:r>
            <w:r w:rsidR="00D849C6" w:rsidRPr="001D27C6">
              <w:rPr>
                <w:rFonts w:asciiTheme="minorHAnsi" w:hAnsiTheme="minorHAnsi" w:cstheme="minorHAnsi"/>
                <w:sz w:val="22"/>
                <w:szCs w:val="22"/>
              </w:rPr>
              <w:t xml:space="preserve"> </w:t>
            </w:r>
          </w:p>
          <w:p w14:paraId="2456BD42" w14:textId="77777777" w:rsidR="00D849C6" w:rsidRPr="001D27C6" w:rsidRDefault="00D849C6" w:rsidP="00D849C6">
            <w:pPr>
              <w:pStyle w:val="Default"/>
              <w:rPr>
                <w:rFonts w:asciiTheme="minorHAnsi" w:hAnsiTheme="minorHAnsi" w:cstheme="minorHAnsi"/>
                <w:sz w:val="22"/>
                <w:szCs w:val="22"/>
              </w:rPr>
            </w:pPr>
            <w:r w:rsidRPr="001D27C6">
              <w:rPr>
                <w:rFonts w:asciiTheme="minorHAnsi" w:hAnsiTheme="minorHAnsi" w:cstheme="minorHAnsi"/>
                <w:sz w:val="22"/>
                <w:szCs w:val="22"/>
              </w:rPr>
              <w:t xml:space="preserve">357-359 </w:t>
            </w:r>
            <w:proofErr w:type="spellStart"/>
            <w:r w:rsidRPr="001D27C6">
              <w:rPr>
                <w:rFonts w:asciiTheme="minorHAnsi" w:hAnsiTheme="minorHAnsi" w:cstheme="minorHAnsi"/>
                <w:sz w:val="22"/>
                <w:szCs w:val="22"/>
              </w:rPr>
              <w:t>Messogion</w:t>
            </w:r>
            <w:proofErr w:type="spellEnd"/>
            <w:r w:rsidRPr="001D27C6">
              <w:rPr>
                <w:rFonts w:asciiTheme="minorHAnsi" w:hAnsiTheme="minorHAnsi" w:cstheme="minorHAnsi"/>
                <w:sz w:val="22"/>
                <w:szCs w:val="22"/>
              </w:rPr>
              <w:t xml:space="preserve"> Ave.,</w:t>
            </w:r>
          </w:p>
          <w:p w14:paraId="2EA75D3A" w14:textId="77777777" w:rsidR="00D849C6" w:rsidRPr="001D27C6" w:rsidRDefault="00D849C6" w:rsidP="00D849C6">
            <w:pPr>
              <w:pStyle w:val="Default"/>
              <w:rPr>
                <w:rFonts w:asciiTheme="minorHAnsi" w:hAnsiTheme="minorHAnsi" w:cstheme="minorHAnsi"/>
                <w:sz w:val="22"/>
                <w:szCs w:val="22"/>
              </w:rPr>
            </w:pPr>
            <w:r w:rsidRPr="001D27C6">
              <w:rPr>
                <w:rFonts w:asciiTheme="minorHAnsi" w:hAnsiTheme="minorHAnsi" w:cstheme="minorHAnsi"/>
                <w:sz w:val="22"/>
                <w:szCs w:val="22"/>
              </w:rPr>
              <w:t>Athens, 15231, Greece</w:t>
            </w:r>
          </w:p>
          <w:p w14:paraId="65B04226" w14:textId="77777777" w:rsidR="00D849C6" w:rsidRPr="001D27C6" w:rsidRDefault="00000000" w:rsidP="00D849C6">
            <w:pPr>
              <w:pStyle w:val="Default"/>
              <w:rPr>
                <w:rFonts w:asciiTheme="minorHAnsi" w:hAnsiTheme="minorHAnsi" w:cstheme="minorHAnsi"/>
                <w:sz w:val="22"/>
                <w:szCs w:val="22"/>
              </w:rPr>
            </w:pPr>
            <w:hyperlink r:id="rId20" w:history="1">
              <w:r w:rsidR="00D849C6" w:rsidRPr="001D27C6">
                <w:rPr>
                  <w:rStyle w:val="Hyperlink"/>
                  <w:rFonts w:asciiTheme="minorHAnsi" w:hAnsiTheme="minorHAnsi" w:cstheme="minorHAnsi"/>
                  <w:sz w:val="22"/>
                  <w:szCs w:val="22"/>
                </w:rPr>
                <w:t>www.desfa.gr</w:t>
              </w:r>
            </w:hyperlink>
            <w:r w:rsidR="00D849C6" w:rsidRPr="001D27C6">
              <w:rPr>
                <w:rFonts w:asciiTheme="minorHAnsi" w:hAnsiTheme="minorHAnsi" w:cstheme="minorHAnsi"/>
                <w:sz w:val="22"/>
                <w:szCs w:val="22"/>
              </w:rPr>
              <w:t xml:space="preserve"> </w:t>
            </w:r>
          </w:p>
          <w:p w14:paraId="35E6A1F8" w14:textId="77777777" w:rsidR="00D849C6" w:rsidRPr="001D27C6" w:rsidRDefault="00D849C6" w:rsidP="009E00B3">
            <w:pPr>
              <w:pStyle w:val="Default"/>
              <w:rPr>
                <w:rFonts w:asciiTheme="minorHAnsi" w:hAnsiTheme="minorHAnsi" w:cstheme="minorHAnsi"/>
                <w:sz w:val="22"/>
                <w:szCs w:val="22"/>
              </w:rPr>
            </w:pPr>
          </w:p>
        </w:tc>
        <w:tc>
          <w:tcPr>
            <w:tcW w:w="5953" w:type="dxa"/>
          </w:tcPr>
          <w:p w14:paraId="6BE06BBA" w14:textId="77777777" w:rsidR="00D849C6" w:rsidRPr="001D27C6" w:rsidRDefault="00D849C6" w:rsidP="00D849C6">
            <w:pPr>
              <w:pStyle w:val="Default"/>
              <w:jc w:val="both"/>
              <w:rPr>
                <w:rFonts w:asciiTheme="minorHAnsi" w:hAnsiTheme="minorHAnsi" w:cstheme="minorHAnsi"/>
                <w:sz w:val="22"/>
                <w:szCs w:val="22"/>
              </w:rPr>
            </w:pPr>
            <w:r w:rsidRPr="001D27C6">
              <w:rPr>
                <w:rFonts w:asciiTheme="minorHAnsi" w:hAnsiTheme="minorHAnsi" w:cstheme="minorHAnsi"/>
                <w:sz w:val="22"/>
                <w:szCs w:val="22"/>
              </w:rPr>
              <w:t>General information:</w:t>
            </w:r>
          </w:p>
          <w:p w14:paraId="1B91A719" w14:textId="77777777" w:rsidR="00D849C6" w:rsidRPr="001D27C6" w:rsidRDefault="00D849C6" w:rsidP="00D849C6">
            <w:pPr>
              <w:pStyle w:val="Default"/>
              <w:jc w:val="both"/>
              <w:rPr>
                <w:rFonts w:asciiTheme="minorHAnsi" w:hAnsiTheme="minorHAnsi" w:cstheme="minorHAnsi"/>
                <w:sz w:val="22"/>
                <w:szCs w:val="22"/>
              </w:rPr>
            </w:pPr>
          </w:p>
          <w:p w14:paraId="3DC42C8B" w14:textId="77777777" w:rsidR="00D849C6" w:rsidRPr="001D27C6" w:rsidRDefault="00D849C6" w:rsidP="00587C2A">
            <w:pPr>
              <w:pStyle w:val="Default"/>
              <w:jc w:val="both"/>
              <w:rPr>
                <w:rFonts w:asciiTheme="minorHAnsi" w:hAnsiTheme="minorHAnsi" w:cstheme="minorHAnsi"/>
                <w:sz w:val="22"/>
                <w:szCs w:val="22"/>
              </w:rPr>
            </w:pPr>
            <w:r w:rsidRPr="001D27C6">
              <w:rPr>
                <w:rFonts w:asciiTheme="minorHAnsi" w:hAnsiTheme="minorHAnsi" w:cstheme="minorHAnsi"/>
                <w:sz w:val="22"/>
                <w:szCs w:val="22"/>
              </w:rPr>
              <w:t>Name of the Applicant:  ______________________________</w:t>
            </w:r>
            <w:r w:rsidR="00D6254A">
              <w:rPr>
                <w:rFonts w:asciiTheme="minorHAnsi" w:hAnsiTheme="minorHAnsi" w:cstheme="minorHAnsi"/>
                <w:sz w:val="22"/>
                <w:szCs w:val="22"/>
              </w:rPr>
              <w:t>__</w:t>
            </w:r>
          </w:p>
          <w:p w14:paraId="29EDAEC2" w14:textId="77777777" w:rsidR="00D849C6" w:rsidRPr="001D27C6" w:rsidRDefault="00D849C6" w:rsidP="00587C2A">
            <w:pPr>
              <w:pStyle w:val="Default"/>
              <w:jc w:val="both"/>
              <w:rPr>
                <w:rFonts w:asciiTheme="minorHAnsi" w:hAnsiTheme="minorHAnsi" w:cstheme="minorHAnsi"/>
                <w:sz w:val="22"/>
                <w:szCs w:val="22"/>
              </w:rPr>
            </w:pPr>
            <w:r w:rsidRPr="001D27C6">
              <w:rPr>
                <w:rFonts w:asciiTheme="minorHAnsi" w:hAnsiTheme="minorHAnsi" w:cstheme="minorHAnsi"/>
                <w:sz w:val="22"/>
                <w:szCs w:val="22"/>
              </w:rPr>
              <w:t>Registered address:  __________________________________</w:t>
            </w:r>
            <w:r w:rsidR="00D6254A">
              <w:rPr>
                <w:rFonts w:asciiTheme="minorHAnsi" w:hAnsiTheme="minorHAnsi" w:cstheme="minorHAnsi"/>
                <w:sz w:val="22"/>
                <w:szCs w:val="22"/>
              </w:rPr>
              <w:t>_</w:t>
            </w:r>
          </w:p>
          <w:p w14:paraId="1E560F49" w14:textId="77777777" w:rsidR="00D849C6" w:rsidRPr="001D27C6" w:rsidRDefault="00015195" w:rsidP="00015195">
            <w:pPr>
              <w:pStyle w:val="Default"/>
              <w:jc w:val="both"/>
              <w:rPr>
                <w:rFonts w:asciiTheme="minorHAnsi" w:hAnsiTheme="minorHAnsi" w:cstheme="minorHAnsi"/>
                <w:sz w:val="22"/>
                <w:szCs w:val="22"/>
              </w:rPr>
            </w:pPr>
            <w:r w:rsidRPr="001D27C6">
              <w:rPr>
                <w:rFonts w:asciiTheme="minorHAnsi" w:hAnsiTheme="minorHAnsi" w:cstheme="minorHAnsi"/>
                <w:sz w:val="22"/>
                <w:szCs w:val="22"/>
              </w:rPr>
              <w:t xml:space="preserve">Contact address </w:t>
            </w:r>
            <w:r w:rsidR="00D849C6" w:rsidRPr="001D27C6">
              <w:rPr>
                <w:rFonts w:asciiTheme="minorHAnsi" w:hAnsiTheme="minorHAnsi" w:cstheme="minorHAnsi"/>
                <w:sz w:val="22"/>
                <w:szCs w:val="22"/>
              </w:rPr>
              <w:t xml:space="preserve">of the </w:t>
            </w:r>
            <w:r w:rsidRPr="001D27C6">
              <w:rPr>
                <w:rFonts w:asciiTheme="minorHAnsi" w:hAnsiTheme="minorHAnsi" w:cstheme="minorHAnsi"/>
                <w:sz w:val="22"/>
                <w:szCs w:val="22"/>
              </w:rPr>
              <w:t>Applicant</w:t>
            </w:r>
            <w:r w:rsidR="00D849C6" w:rsidRPr="001D27C6">
              <w:rPr>
                <w:rFonts w:asciiTheme="minorHAnsi" w:hAnsiTheme="minorHAnsi" w:cstheme="minorHAnsi"/>
                <w:sz w:val="22"/>
                <w:szCs w:val="22"/>
              </w:rPr>
              <w:t>: ______________________</w:t>
            </w:r>
            <w:r w:rsidR="00D6254A">
              <w:rPr>
                <w:rFonts w:asciiTheme="minorHAnsi" w:hAnsiTheme="minorHAnsi" w:cstheme="minorHAnsi"/>
                <w:sz w:val="22"/>
                <w:szCs w:val="22"/>
              </w:rPr>
              <w:t>___</w:t>
            </w:r>
          </w:p>
          <w:p w14:paraId="66952FF2" w14:textId="77777777" w:rsidR="00D849C6" w:rsidRPr="001D27C6" w:rsidRDefault="00D849C6" w:rsidP="00587C2A">
            <w:pPr>
              <w:pStyle w:val="Default"/>
              <w:jc w:val="both"/>
              <w:rPr>
                <w:rFonts w:asciiTheme="minorHAnsi" w:hAnsiTheme="minorHAnsi" w:cstheme="minorHAnsi"/>
                <w:sz w:val="22"/>
                <w:szCs w:val="22"/>
              </w:rPr>
            </w:pPr>
            <w:r w:rsidRPr="001D27C6">
              <w:rPr>
                <w:rFonts w:asciiTheme="minorHAnsi" w:hAnsiTheme="minorHAnsi" w:cstheme="minorHAnsi"/>
                <w:sz w:val="22"/>
                <w:szCs w:val="22"/>
              </w:rPr>
              <w:t>Register number in the NNGS Users’ Registry</w:t>
            </w:r>
            <w:r w:rsidR="00B87452" w:rsidRPr="001D27C6">
              <w:rPr>
                <w:rFonts w:asciiTheme="minorHAnsi" w:hAnsiTheme="minorHAnsi" w:cstheme="minorHAnsi"/>
                <w:sz w:val="22"/>
                <w:szCs w:val="22"/>
              </w:rPr>
              <w:t xml:space="preserve"> under </w:t>
            </w:r>
            <w:r w:rsidR="00BC60A5">
              <w:rPr>
                <w:rFonts w:asciiTheme="minorHAnsi" w:hAnsiTheme="minorHAnsi" w:cstheme="minorHAnsi"/>
                <w:sz w:val="22"/>
                <w:szCs w:val="22"/>
              </w:rPr>
              <w:t>a</w:t>
            </w:r>
            <w:r w:rsidR="00B87452" w:rsidRPr="001D27C6">
              <w:rPr>
                <w:rFonts w:asciiTheme="minorHAnsi" w:hAnsiTheme="minorHAnsi" w:cstheme="minorHAnsi"/>
                <w:sz w:val="22"/>
                <w:szCs w:val="22"/>
              </w:rPr>
              <w:t xml:space="preserve">rticle </w:t>
            </w:r>
            <w:r w:rsidRPr="001D27C6">
              <w:rPr>
                <w:rFonts w:asciiTheme="minorHAnsi" w:hAnsiTheme="minorHAnsi" w:cstheme="minorHAnsi"/>
                <w:sz w:val="22"/>
                <w:szCs w:val="22"/>
              </w:rPr>
              <w:t xml:space="preserve">72 of Law </w:t>
            </w:r>
            <w:r w:rsidR="00015195" w:rsidRPr="001D27C6">
              <w:rPr>
                <w:rFonts w:asciiTheme="minorHAnsi" w:hAnsiTheme="minorHAnsi" w:cstheme="minorHAnsi"/>
                <w:sz w:val="22"/>
                <w:szCs w:val="22"/>
              </w:rPr>
              <w:t>4001/2011</w:t>
            </w:r>
            <w:r w:rsidRPr="001D27C6">
              <w:rPr>
                <w:rFonts w:asciiTheme="minorHAnsi" w:hAnsiTheme="minorHAnsi" w:cstheme="minorHAnsi"/>
                <w:sz w:val="22"/>
                <w:szCs w:val="22"/>
              </w:rPr>
              <w:t>:  ____</w:t>
            </w:r>
            <w:r w:rsidR="00B87452" w:rsidRPr="001D27C6">
              <w:rPr>
                <w:rFonts w:asciiTheme="minorHAnsi" w:hAnsiTheme="minorHAnsi" w:cstheme="minorHAnsi"/>
                <w:sz w:val="22"/>
                <w:szCs w:val="22"/>
              </w:rPr>
              <w:t>____________</w:t>
            </w:r>
            <w:r w:rsidRPr="001D27C6">
              <w:rPr>
                <w:rFonts w:asciiTheme="minorHAnsi" w:hAnsiTheme="minorHAnsi" w:cstheme="minorHAnsi"/>
                <w:sz w:val="22"/>
                <w:szCs w:val="22"/>
              </w:rPr>
              <w:t>_</w:t>
            </w:r>
            <w:r w:rsidR="00B87452" w:rsidRPr="001D27C6">
              <w:rPr>
                <w:rFonts w:asciiTheme="minorHAnsi" w:hAnsiTheme="minorHAnsi" w:cstheme="minorHAnsi"/>
                <w:sz w:val="22"/>
                <w:szCs w:val="22"/>
              </w:rPr>
              <w:t>_________________</w:t>
            </w:r>
            <w:r w:rsidRPr="001D27C6">
              <w:rPr>
                <w:rFonts w:asciiTheme="minorHAnsi" w:hAnsiTheme="minorHAnsi" w:cstheme="minorHAnsi"/>
                <w:sz w:val="22"/>
                <w:szCs w:val="22"/>
              </w:rPr>
              <w:t>__</w:t>
            </w:r>
            <w:r w:rsidR="00D6254A">
              <w:rPr>
                <w:rFonts w:asciiTheme="minorHAnsi" w:hAnsiTheme="minorHAnsi" w:cstheme="minorHAnsi"/>
                <w:sz w:val="22"/>
                <w:szCs w:val="22"/>
              </w:rPr>
              <w:t>__</w:t>
            </w:r>
          </w:p>
          <w:p w14:paraId="045D3B3F" w14:textId="77777777" w:rsidR="00D849C6" w:rsidRPr="001D27C6" w:rsidRDefault="00D849C6" w:rsidP="00587C2A">
            <w:pPr>
              <w:pStyle w:val="Default"/>
              <w:jc w:val="both"/>
              <w:rPr>
                <w:rFonts w:asciiTheme="minorHAnsi" w:hAnsiTheme="minorHAnsi" w:cstheme="minorHAnsi"/>
                <w:sz w:val="22"/>
                <w:szCs w:val="22"/>
              </w:rPr>
            </w:pPr>
            <w:r w:rsidRPr="001D27C6">
              <w:rPr>
                <w:rFonts w:asciiTheme="minorHAnsi" w:hAnsiTheme="minorHAnsi" w:cstheme="minorHAnsi"/>
                <w:sz w:val="22"/>
                <w:szCs w:val="22"/>
              </w:rPr>
              <w:t xml:space="preserve">Standard </w:t>
            </w:r>
            <w:r w:rsidR="00587C2A" w:rsidRPr="001D27C6">
              <w:rPr>
                <w:rFonts w:asciiTheme="minorHAnsi" w:hAnsiTheme="minorHAnsi" w:cstheme="minorHAnsi"/>
                <w:sz w:val="22"/>
                <w:szCs w:val="22"/>
              </w:rPr>
              <w:t xml:space="preserve">Framework </w:t>
            </w:r>
            <w:r w:rsidRPr="001D27C6">
              <w:rPr>
                <w:rFonts w:asciiTheme="minorHAnsi" w:hAnsiTheme="minorHAnsi" w:cstheme="minorHAnsi"/>
                <w:sz w:val="22"/>
                <w:szCs w:val="22"/>
              </w:rPr>
              <w:t xml:space="preserve">Transmission Agreement no </w:t>
            </w:r>
            <w:r w:rsidR="00587C2A" w:rsidRPr="001D27C6">
              <w:rPr>
                <w:rFonts w:asciiTheme="minorHAnsi" w:hAnsiTheme="minorHAnsi" w:cstheme="minorHAnsi"/>
                <w:sz w:val="22"/>
                <w:szCs w:val="22"/>
              </w:rPr>
              <w:t>___</w:t>
            </w:r>
            <w:r w:rsidRPr="001D27C6">
              <w:rPr>
                <w:rFonts w:asciiTheme="minorHAnsi" w:hAnsiTheme="minorHAnsi" w:cstheme="minorHAnsi"/>
                <w:sz w:val="22"/>
                <w:szCs w:val="22"/>
              </w:rPr>
              <w:t>________</w:t>
            </w:r>
          </w:p>
          <w:p w14:paraId="07B69BAF" w14:textId="77777777" w:rsidR="00D849C6" w:rsidRPr="001D27C6" w:rsidRDefault="00D849C6" w:rsidP="00587C2A">
            <w:pPr>
              <w:pStyle w:val="Default"/>
              <w:jc w:val="both"/>
              <w:rPr>
                <w:rFonts w:asciiTheme="minorHAnsi" w:hAnsiTheme="minorHAnsi" w:cstheme="minorHAnsi"/>
                <w:sz w:val="22"/>
                <w:szCs w:val="22"/>
              </w:rPr>
            </w:pPr>
            <w:r w:rsidRPr="001D27C6">
              <w:rPr>
                <w:rFonts w:asciiTheme="minorHAnsi" w:hAnsiTheme="minorHAnsi" w:cstheme="minorHAnsi"/>
                <w:sz w:val="22"/>
                <w:szCs w:val="22"/>
              </w:rPr>
              <w:t>Contact person:  _____________________________________</w:t>
            </w:r>
            <w:r w:rsidR="000E44F5">
              <w:rPr>
                <w:rFonts w:asciiTheme="minorHAnsi" w:hAnsiTheme="minorHAnsi" w:cstheme="minorHAnsi"/>
                <w:sz w:val="22"/>
                <w:szCs w:val="22"/>
              </w:rPr>
              <w:t>_</w:t>
            </w:r>
          </w:p>
          <w:p w14:paraId="037F3A1B" w14:textId="77777777" w:rsidR="00D849C6" w:rsidRPr="001D27C6" w:rsidRDefault="00D849C6" w:rsidP="00587C2A">
            <w:pPr>
              <w:pStyle w:val="Default"/>
              <w:jc w:val="both"/>
              <w:rPr>
                <w:rFonts w:asciiTheme="minorHAnsi" w:hAnsiTheme="minorHAnsi" w:cstheme="minorHAnsi"/>
                <w:sz w:val="22"/>
                <w:szCs w:val="22"/>
              </w:rPr>
            </w:pPr>
            <w:r w:rsidRPr="001D27C6">
              <w:rPr>
                <w:rFonts w:asciiTheme="minorHAnsi" w:hAnsiTheme="minorHAnsi" w:cstheme="minorHAnsi"/>
                <w:sz w:val="22"/>
                <w:szCs w:val="22"/>
              </w:rPr>
              <w:t>Position:  ___________________________________________</w:t>
            </w:r>
            <w:r w:rsidR="000E44F5">
              <w:rPr>
                <w:rFonts w:asciiTheme="minorHAnsi" w:hAnsiTheme="minorHAnsi" w:cstheme="minorHAnsi"/>
                <w:sz w:val="22"/>
                <w:szCs w:val="22"/>
              </w:rPr>
              <w:t>_</w:t>
            </w:r>
          </w:p>
          <w:p w14:paraId="42E4D3C2" w14:textId="77777777" w:rsidR="00D849C6" w:rsidRPr="001D27C6" w:rsidRDefault="00D849C6" w:rsidP="00587C2A">
            <w:pPr>
              <w:pStyle w:val="Default"/>
              <w:jc w:val="both"/>
              <w:rPr>
                <w:rFonts w:asciiTheme="minorHAnsi" w:hAnsiTheme="minorHAnsi" w:cstheme="minorHAnsi"/>
                <w:sz w:val="22"/>
                <w:szCs w:val="22"/>
              </w:rPr>
            </w:pPr>
            <w:r w:rsidRPr="001D27C6">
              <w:rPr>
                <w:rFonts w:asciiTheme="minorHAnsi" w:hAnsiTheme="minorHAnsi" w:cstheme="minorHAnsi"/>
                <w:sz w:val="22"/>
                <w:szCs w:val="22"/>
              </w:rPr>
              <w:t>Telephone(s): ________________________________________</w:t>
            </w:r>
          </w:p>
          <w:p w14:paraId="5F9C8AEC" w14:textId="77777777" w:rsidR="00D849C6" w:rsidRPr="001D27C6" w:rsidRDefault="00D849C6" w:rsidP="00587C2A">
            <w:pPr>
              <w:autoSpaceDE w:val="0"/>
              <w:autoSpaceDN w:val="0"/>
              <w:adjustRightInd w:val="0"/>
              <w:spacing w:after="0" w:line="240" w:lineRule="auto"/>
              <w:jc w:val="both"/>
              <w:rPr>
                <w:rFonts w:cstheme="minorHAnsi"/>
                <w:color w:val="000000"/>
              </w:rPr>
            </w:pPr>
            <w:r w:rsidRPr="001D27C6">
              <w:rPr>
                <w:rFonts w:cstheme="minorHAnsi"/>
                <w:color w:val="000000"/>
              </w:rPr>
              <w:t>E-mail:  _____________________________________________</w:t>
            </w:r>
            <w:r w:rsidR="000E44F5">
              <w:rPr>
                <w:rFonts w:cstheme="minorHAnsi"/>
                <w:color w:val="000000"/>
              </w:rPr>
              <w:t>_</w:t>
            </w:r>
          </w:p>
          <w:p w14:paraId="138A6A96" w14:textId="77777777" w:rsidR="00D849C6" w:rsidRPr="001D27C6" w:rsidRDefault="00D849C6" w:rsidP="00D849C6">
            <w:pPr>
              <w:autoSpaceDE w:val="0"/>
              <w:autoSpaceDN w:val="0"/>
              <w:adjustRightInd w:val="0"/>
              <w:spacing w:after="0" w:line="240" w:lineRule="auto"/>
              <w:rPr>
                <w:rFonts w:cstheme="minorHAnsi"/>
                <w:color w:val="000000"/>
              </w:rPr>
            </w:pPr>
          </w:p>
        </w:tc>
      </w:tr>
    </w:tbl>
    <w:p w14:paraId="4DB34D79" w14:textId="77777777" w:rsidR="00BC60A5" w:rsidRDefault="00BC60A5" w:rsidP="007B52CF">
      <w:pPr>
        <w:pStyle w:val="ListParagraph"/>
        <w:autoSpaceDE w:val="0"/>
        <w:autoSpaceDN w:val="0"/>
        <w:adjustRightInd w:val="0"/>
        <w:spacing w:after="0" w:line="276" w:lineRule="auto"/>
        <w:ind w:left="360"/>
        <w:jc w:val="both"/>
        <w:rPr>
          <w:rFonts w:cstheme="minorHAnsi"/>
          <w:color w:val="000000"/>
        </w:rPr>
      </w:pPr>
    </w:p>
    <w:p w14:paraId="72AFF17F" w14:textId="77777777" w:rsidR="00D849C6" w:rsidRPr="001D27C6" w:rsidRDefault="00D849C6">
      <w:pPr>
        <w:pStyle w:val="ListParagraph"/>
        <w:numPr>
          <w:ilvl w:val="0"/>
          <w:numId w:val="35"/>
        </w:numPr>
        <w:autoSpaceDE w:val="0"/>
        <w:autoSpaceDN w:val="0"/>
        <w:adjustRightInd w:val="0"/>
        <w:spacing w:after="0" w:line="276" w:lineRule="auto"/>
        <w:jc w:val="both"/>
        <w:rPr>
          <w:rFonts w:cstheme="minorHAnsi"/>
          <w:color w:val="000000"/>
        </w:rPr>
      </w:pPr>
      <w:r w:rsidRPr="001D27C6">
        <w:rPr>
          <w:rFonts w:cstheme="minorHAnsi"/>
          <w:color w:val="000000"/>
        </w:rPr>
        <w:t xml:space="preserve">By signing this Registration Form, the Applicant confirms and agrees that: </w:t>
      </w:r>
    </w:p>
    <w:p w14:paraId="62D08D78" w14:textId="6A65135B" w:rsidR="00D849C6" w:rsidRPr="001D27C6" w:rsidRDefault="00D849C6">
      <w:pPr>
        <w:pStyle w:val="ListParagraph"/>
        <w:numPr>
          <w:ilvl w:val="0"/>
          <w:numId w:val="37"/>
        </w:numPr>
        <w:autoSpaceDE w:val="0"/>
        <w:autoSpaceDN w:val="0"/>
        <w:adjustRightInd w:val="0"/>
        <w:spacing w:after="0" w:line="276" w:lineRule="auto"/>
        <w:jc w:val="both"/>
        <w:rPr>
          <w:rFonts w:cstheme="minorHAnsi"/>
          <w:color w:val="000000"/>
        </w:rPr>
      </w:pPr>
      <w:r w:rsidRPr="001D27C6">
        <w:rPr>
          <w:rFonts w:cstheme="minorHAnsi"/>
          <w:color w:val="000000"/>
        </w:rPr>
        <w:t xml:space="preserve">Has studied, fully </w:t>
      </w:r>
      <w:proofErr w:type="gramStart"/>
      <w:r w:rsidRPr="001D27C6">
        <w:rPr>
          <w:rFonts w:cstheme="minorHAnsi"/>
          <w:color w:val="000000"/>
        </w:rPr>
        <w:t>understands</w:t>
      </w:r>
      <w:proofErr w:type="gramEnd"/>
      <w:r w:rsidRPr="001D27C6">
        <w:rPr>
          <w:rFonts w:cstheme="minorHAnsi"/>
          <w:color w:val="000000"/>
        </w:rPr>
        <w:t xml:space="preserve"> and accepts </w:t>
      </w:r>
      <w:r w:rsidRPr="001D27C6">
        <w:rPr>
          <w:rFonts w:cstheme="minorHAnsi"/>
        </w:rPr>
        <w:t xml:space="preserve">all terms contained in </w:t>
      </w:r>
      <w:r w:rsidRPr="001D27C6">
        <w:rPr>
          <w:rFonts w:cstheme="minorHAnsi"/>
          <w:color w:val="000000"/>
        </w:rPr>
        <w:t xml:space="preserve">the </w:t>
      </w:r>
      <w:r w:rsidR="008E2220" w:rsidRPr="001D27C6">
        <w:rPr>
          <w:rFonts w:cstheme="minorHAnsi"/>
          <w:color w:val="000000"/>
        </w:rPr>
        <w:t>20</w:t>
      </w:r>
      <w:r w:rsidR="008E2220">
        <w:rPr>
          <w:rFonts w:cstheme="minorHAnsi"/>
          <w:color w:val="000000"/>
        </w:rPr>
        <w:t>21</w:t>
      </w:r>
      <w:r w:rsidR="008E2220" w:rsidRPr="001D27C6">
        <w:rPr>
          <w:rFonts w:cstheme="minorHAnsi"/>
          <w:color w:val="000000"/>
        </w:rPr>
        <w:t xml:space="preserve"> </w:t>
      </w:r>
      <w:r w:rsidRPr="001D27C6">
        <w:rPr>
          <w:rFonts w:cstheme="minorHAnsi"/>
          <w:color w:val="000000"/>
        </w:rPr>
        <w:t>Incremental Capacity Process as set out in the Project Proposal and the Joint Notice,</w:t>
      </w:r>
      <w:r w:rsidRPr="001D27C6">
        <w:rPr>
          <w:rFonts w:cstheme="minorHAnsi"/>
        </w:rPr>
        <w:t xml:space="preserve"> including DESFA’s Binding Bi</w:t>
      </w:r>
      <w:r w:rsidR="00755DC4">
        <w:rPr>
          <w:rFonts w:cstheme="minorHAnsi"/>
        </w:rPr>
        <w:t>d</w:t>
      </w:r>
      <w:r w:rsidRPr="001D27C6">
        <w:rPr>
          <w:rFonts w:cstheme="minorHAnsi"/>
        </w:rPr>
        <w:t>ding Notice.</w:t>
      </w:r>
      <w:r w:rsidRPr="001D27C6">
        <w:rPr>
          <w:rFonts w:cstheme="minorHAnsi"/>
          <w:color w:val="000000"/>
        </w:rPr>
        <w:t xml:space="preserve"> </w:t>
      </w:r>
    </w:p>
    <w:p w14:paraId="75D02A01" w14:textId="42A471FC" w:rsidR="00D849C6" w:rsidRPr="001D27C6" w:rsidRDefault="00D849C6">
      <w:pPr>
        <w:pStyle w:val="ListParagraph"/>
        <w:numPr>
          <w:ilvl w:val="0"/>
          <w:numId w:val="37"/>
        </w:numPr>
        <w:autoSpaceDE w:val="0"/>
        <w:autoSpaceDN w:val="0"/>
        <w:adjustRightInd w:val="0"/>
        <w:spacing w:after="0" w:line="276" w:lineRule="auto"/>
        <w:jc w:val="both"/>
        <w:rPr>
          <w:rFonts w:cstheme="minorHAnsi"/>
        </w:rPr>
      </w:pPr>
      <w:r w:rsidRPr="001D27C6">
        <w:rPr>
          <w:rFonts w:cstheme="minorHAnsi"/>
        </w:rPr>
        <w:t xml:space="preserve">Has studied, fully understands, </w:t>
      </w:r>
      <w:proofErr w:type="gramStart"/>
      <w:r w:rsidRPr="001D27C6">
        <w:rPr>
          <w:rFonts w:cstheme="minorHAnsi"/>
        </w:rPr>
        <w:t>accepts</w:t>
      </w:r>
      <w:proofErr w:type="gramEnd"/>
      <w:r w:rsidRPr="001D27C6">
        <w:rPr>
          <w:rFonts w:cstheme="minorHAnsi"/>
        </w:rPr>
        <w:t xml:space="preserve"> and complies</w:t>
      </w:r>
      <w:r w:rsidRPr="001D27C6" w:rsidDel="00150306">
        <w:rPr>
          <w:rFonts w:cstheme="minorHAnsi"/>
        </w:rPr>
        <w:t xml:space="preserve"> </w:t>
      </w:r>
      <w:r w:rsidRPr="001D27C6">
        <w:rPr>
          <w:rFonts w:cstheme="minorHAnsi"/>
        </w:rPr>
        <w:t>with the provisions of Regulation (EU) 2017/459 (OJEU L72/17.3.2017), as well as with the Hellenic applicable legislation for gas transmission and especially Law 4001/2011, as in force and DESFA’s National Natural Gas System Network Code (</w:t>
      </w:r>
      <w:r w:rsidR="00A41BC1">
        <w:t>Government Gazette B</w:t>
      </w:r>
      <w:r w:rsidR="00A41BC1" w:rsidRPr="003A3341">
        <w:t xml:space="preserve"> </w:t>
      </w:r>
      <w:r w:rsidR="00A41BC1">
        <w:t>4269/11.08.2022</w:t>
      </w:r>
      <w:r w:rsidRPr="001D27C6">
        <w:rPr>
          <w:rFonts w:cstheme="minorHAnsi"/>
        </w:rPr>
        <w:t>)</w:t>
      </w:r>
      <w:r w:rsidR="00A41BC1">
        <w:rPr>
          <w:rFonts w:cstheme="minorHAnsi"/>
        </w:rPr>
        <w:t xml:space="preserve"> as in force</w:t>
      </w:r>
      <w:r w:rsidRPr="001D27C6">
        <w:rPr>
          <w:rFonts w:cstheme="minorHAnsi"/>
        </w:rPr>
        <w:t>.</w:t>
      </w:r>
    </w:p>
    <w:p w14:paraId="4DE85A67" w14:textId="77777777" w:rsidR="00D849C6" w:rsidRPr="001D27C6" w:rsidRDefault="00D849C6">
      <w:pPr>
        <w:pStyle w:val="ListParagraph"/>
        <w:numPr>
          <w:ilvl w:val="0"/>
          <w:numId w:val="37"/>
        </w:numPr>
        <w:autoSpaceDE w:val="0"/>
        <w:autoSpaceDN w:val="0"/>
        <w:adjustRightInd w:val="0"/>
        <w:spacing w:after="0" w:line="276" w:lineRule="auto"/>
        <w:jc w:val="both"/>
        <w:rPr>
          <w:rFonts w:cstheme="minorHAnsi"/>
        </w:rPr>
      </w:pPr>
      <w:r w:rsidRPr="001D27C6">
        <w:rPr>
          <w:rFonts w:cstheme="minorHAnsi"/>
        </w:rPr>
        <w:t>This Registration Form, including all documents and data submitted by the Participant in this context can be shared with the concerned TSOs for the assessment of the demand for incremental capacity at their joint Interconnection Points.</w:t>
      </w:r>
    </w:p>
    <w:p w14:paraId="65E10CF0" w14:textId="77777777" w:rsidR="00D849C6" w:rsidRPr="001D27C6" w:rsidRDefault="00D849C6" w:rsidP="00D849C6">
      <w:pPr>
        <w:autoSpaceDE w:val="0"/>
        <w:autoSpaceDN w:val="0"/>
        <w:adjustRightInd w:val="0"/>
        <w:spacing w:after="0" w:line="276" w:lineRule="auto"/>
        <w:jc w:val="both"/>
        <w:rPr>
          <w:rFonts w:cstheme="minorHAnsi"/>
        </w:rPr>
      </w:pPr>
    </w:p>
    <w:p w14:paraId="05BA4622" w14:textId="77777777" w:rsidR="00D849C6" w:rsidRPr="001D27C6" w:rsidRDefault="00D849C6">
      <w:pPr>
        <w:pStyle w:val="ListParagraph"/>
        <w:numPr>
          <w:ilvl w:val="0"/>
          <w:numId w:val="35"/>
        </w:numPr>
        <w:autoSpaceDE w:val="0"/>
        <w:autoSpaceDN w:val="0"/>
        <w:adjustRightInd w:val="0"/>
        <w:spacing w:after="0" w:line="276" w:lineRule="auto"/>
        <w:jc w:val="both"/>
        <w:rPr>
          <w:rFonts w:cstheme="minorHAnsi"/>
        </w:rPr>
      </w:pPr>
      <w:r w:rsidRPr="001D27C6">
        <w:rPr>
          <w:rFonts w:cstheme="minorHAnsi"/>
        </w:rPr>
        <w:t>Applicant also submits with this Registration Form the following documents:</w:t>
      </w:r>
    </w:p>
    <w:p w14:paraId="56212BE4" w14:textId="77777777" w:rsidR="00D849C6" w:rsidRPr="001D27C6" w:rsidRDefault="00D849C6">
      <w:pPr>
        <w:pStyle w:val="ListParagraph"/>
        <w:numPr>
          <w:ilvl w:val="0"/>
          <w:numId w:val="38"/>
        </w:numPr>
        <w:autoSpaceDE w:val="0"/>
        <w:autoSpaceDN w:val="0"/>
        <w:adjustRightInd w:val="0"/>
        <w:spacing w:after="0" w:line="276" w:lineRule="auto"/>
        <w:jc w:val="both"/>
        <w:rPr>
          <w:rFonts w:cstheme="minorHAnsi"/>
          <w:color w:val="000000"/>
        </w:rPr>
      </w:pPr>
      <w:r w:rsidRPr="001D27C6">
        <w:rPr>
          <w:rFonts w:cstheme="minorHAnsi"/>
          <w:color w:val="000000"/>
        </w:rPr>
        <w:t xml:space="preserve">Hellenic Regulatory Authority of Energy (RAE) decision for its registration to the RAE’s Users </w:t>
      </w:r>
      <w:proofErr w:type="gramStart"/>
      <w:r w:rsidRPr="001D27C6">
        <w:rPr>
          <w:rFonts w:cstheme="minorHAnsi"/>
          <w:color w:val="000000"/>
        </w:rPr>
        <w:t>Registry;</w:t>
      </w:r>
      <w:proofErr w:type="gramEnd"/>
    </w:p>
    <w:p w14:paraId="519DA3BE" w14:textId="77777777" w:rsidR="00D849C6" w:rsidRPr="001D27C6" w:rsidRDefault="00D849C6">
      <w:pPr>
        <w:pStyle w:val="ListParagraph"/>
        <w:numPr>
          <w:ilvl w:val="0"/>
          <w:numId w:val="38"/>
        </w:numPr>
        <w:autoSpaceDE w:val="0"/>
        <w:autoSpaceDN w:val="0"/>
        <w:adjustRightInd w:val="0"/>
        <w:spacing w:after="0" w:line="276" w:lineRule="auto"/>
        <w:jc w:val="both"/>
        <w:rPr>
          <w:rFonts w:cstheme="minorHAnsi"/>
          <w:color w:val="000000"/>
        </w:rPr>
      </w:pPr>
      <w:r w:rsidRPr="001D27C6">
        <w:rPr>
          <w:rFonts w:cstheme="minorHAnsi"/>
          <w:color w:val="000000"/>
        </w:rPr>
        <w:t xml:space="preserve">Declaration by virtue of which the Applicant, as legally represented, declares that the Applicant has signed with DESFA the Standard </w:t>
      </w:r>
      <w:r w:rsidR="0022693F" w:rsidRPr="001D27C6">
        <w:rPr>
          <w:rFonts w:cstheme="minorHAnsi"/>
          <w:color w:val="000000"/>
        </w:rPr>
        <w:t>Fr</w:t>
      </w:r>
      <w:r w:rsidR="00EC0BBF" w:rsidRPr="001D27C6">
        <w:rPr>
          <w:rFonts w:cstheme="minorHAnsi"/>
          <w:color w:val="000000"/>
        </w:rPr>
        <w:t xml:space="preserve">amework </w:t>
      </w:r>
      <w:r w:rsidRPr="001D27C6">
        <w:rPr>
          <w:rFonts w:cstheme="minorHAnsi"/>
          <w:color w:val="000000"/>
        </w:rPr>
        <w:t xml:space="preserve">Transmission Agreement no </w:t>
      </w:r>
      <w:proofErr w:type="gramStart"/>
      <w:r w:rsidR="001E39C0" w:rsidRPr="001D27C6">
        <w:rPr>
          <w:rFonts w:cstheme="minorHAnsi"/>
          <w:color w:val="000000"/>
        </w:rPr>
        <w:t>[ ]</w:t>
      </w:r>
      <w:proofErr w:type="gramEnd"/>
      <w:r w:rsidRPr="001D27C6">
        <w:rPr>
          <w:rStyle w:val="FootnoteReference"/>
          <w:rFonts w:cstheme="minorHAnsi"/>
          <w:color w:val="000000"/>
        </w:rPr>
        <w:footnoteReference w:id="5"/>
      </w:r>
      <w:r w:rsidRPr="001D27C6">
        <w:rPr>
          <w:rFonts w:cstheme="minorHAnsi"/>
          <w:color w:val="000000"/>
        </w:rPr>
        <w:t xml:space="preserve"> and that the legalization documents listed in </w:t>
      </w:r>
      <w:r w:rsidR="00EC0BBF" w:rsidRPr="001D27C6">
        <w:rPr>
          <w:rFonts w:cstheme="minorHAnsi"/>
          <w:color w:val="000000"/>
        </w:rPr>
        <w:t>a</w:t>
      </w:r>
      <w:r w:rsidRPr="001D27C6">
        <w:rPr>
          <w:rFonts w:cstheme="minorHAnsi"/>
          <w:color w:val="000000"/>
        </w:rPr>
        <w:t xml:space="preserve">nnex I of said Agreement as submitted by the Applicant in this regard haven’t been amended, revoked and are still valid as per Annex IV. </w:t>
      </w:r>
    </w:p>
    <w:p w14:paraId="279F88AA" w14:textId="77777777" w:rsidR="00D849C6" w:rsidRPr="001D27C6" w:rsidRDefault="00D849C6" w:rsidP="00D849C6">
      <w:pPr>
        <w:pStyle w:val="ListParagraph"/>
        <w:autoSpaceDE w:val="0"/>
        <w:autoSpaceDN w:val="0"/>
        <w:adjustRightInd w:val="0"/>
        <w:spacing w:after="0" w:line="276" w:lineRule="auto"/>
        <w:jc w:val="both"/>
        <w:rPr>
          <w:rFonts w:cstheme="minorHAnsi"/>
          <w:color w:val="000000"/>
        </w:rPr>
      </w:pPr>
      <w:r w:rsidRPr="001D27C6">
        <w:rPr>
          <w:rFonts w:cstheme="minorHAnsi"/>
          <w:color w:val="000000"/>
        </w:rPr>
        <w:t>In case that one or more of the documents submitted in the context of the relevant Standard</w:t>
      </w:r>
      <w:r w:rsidR="00A44E63" w:rsidRPr="001D27C6">
        <w:rPr>
          <w:rFonts w:cstheme="minorHAnsi"/>
          <w:color w:val="000000"/>
        </w:rPr>
        <w:t xml:space="preserve"> Framework</w:t>
      </w:r>
      <w:r w:rsidRPr="001D27C6">
        <w:rPr>
          <w:rFonts w:cstheme="minorHAnsi"/>
          <w:color w:val="000000"/>
        </w:rPr>
        <w:t xml:space="preserve"> Transmission Agreement have been amended, revoked or are no longer valid, as per Annex IV (section A), the updated/new documents, namely [   ].</w:t>
      </w:r>
      <w:r w:rsidRPr="001D27C6">
        <w:rPr>
          <w:rStyle w:val="FootnoteReference"/>
          <w:rFonts w:cstheme="minorHAnsi"/>
          <w:color w:val="000000"/>
        </w:rPr>
        <w:footnoteReference w:id="6"/>
      </w:r>
    </w:p>
    <w:p w14:paraId="2E4AB707" w14:textId="77777777" w:rsidR="00D849C6" w:rsidRPr="001D27C6" w:rsidRDefault="00D849C6">
      <w:pPr>
        <w:pStyle w:val="ListParagraph"/>
        <w:numPr>
          <w:ilvl w:val="0"/>
          <w:numId w:val="38"/>
        </w:numPr>
        <w:autoSpaceDE w:val="0"/>
        <w:autoSpaceDN w:val="0"/>
        <w:adjustRightInd w:val="0"/>
        <w:spacing w:after="0" w:line="276" w:lineRule="auto"/>
        <w:jc w:val="both"/>
        <w:rPr>
          <w:rFonts w:cstheme="minorHAnsi"/>
          <w:color w:val="000000"/>
        </w:rPr>
      </w:pPr>
      <w:r w:rsidRPr="001D27C6">
        <w:rPr>
          <w:rFonts w:cstheme="minorHAnsi"/>
          <w:color w:val="000000"/>
        </w:rPr>
        <w:t>The legally binding document for the participation to this Binding Bi</w:t>
      </w:r>
      <w:r w:rsidR="00A00D7F">
        <w:rPr>
          <w:rFonts w:cstheme="minorHAnsi"/>
          <w:color w:val="000000"/>
        </w:rPr>
        <w:t>d</w:t>
      </w:r>
      <w:r w:rsidRPr="001D27C6">
        <w:rPr>
          <w:rFonts w:cstheme="minorHAnsi"/>
          <w:color w:val="000000"/>
        </w:rPr>
        <w:t xml:space="preserve">ding Phase as per Annex IV (section B), namely [ </w:t>
      </w:r>
      <w:proofErr w:type="gramStart"/>
      <w:r w:rsidRPr="001D27C6">
        <w:rPr>
          <w:rFonts w:cstheme="minorHAnsi"/>
          <w:color w:val="000000"/>
        </w:rPr>
        <w:t xml:space="preserve">  ]</w:t>
      </w:r>
      <w:proofErr w:type="gramEnd"/>
      <w:r w:rsidRPr="001D27C6">
        <w:rPr>
          <w:rStyle w:val="FootnoteReference"/>
          <w:rFonts w:cstheme="minorHAnsi"/>
          <w:color w:val="000000"/>
        </w:rPr>
        <w:footnoteReference w:id="7"/>
      </w:r>
      <w:r w:rsidRPr="001D27C6">
        <w:rPr>
          <w:rFonts w:cstheme="minorHAnsi"/>
          <w:color w:val="000000"/>
        </w:rPr>
        <w:t xml:space="preserve"> </w:t>
      </w:r>
      <w:r w:rsidRPr="001D27C6">
        <w:rPr>
          <w:rFonts w:cstheme="minorHAnsi"/>
          <w:i/>
          <w:color w:val="000000"/>
        </w:rPr>
        <w:t>.</w:t>
      </w:r>
    </w:p>
    <w:p w14:paraId="035C5626" w14:textId="77777777" w:rsidR="00D849C6" w:rsidRPr="001D27C6" w:rsidRDefault="00D849C6">
      <w:pPr>
        <w:pStyle w:val="ListParagraph"/>
        <w:numPr>
          <w:ilvl w:val="0"/>
          <w:numId w:val="38"/>
        </w:numPr>
        <w:autoSpaceDE w:val="0"/>
        <w:autoSpaceDN w:val="0"/>
        <w:adjustRightInd w:val="0"/>
        <w:spacing w:after="0" w:line="276" w:lineRule="auto"/>
        <w:jc w:val="both"/>
        <w:rPr>
          <w:rFonts w:cstheme="minorHAnsi"/>
          <w:color w:val="000000"/>
        </w:rPr>
      </w:pPr>
      <w:r w:rsidRPr="001D27C6">
        <w:rPr>
          <w:rFonts w:cstheme="minorHAnsi"/>
          <w:color w:val="000000"/>
        </w:rPr>
        <w:lastRenderedPageBreak/>
        <w:t xml:space="preserve">The documents required in Annex IV (section C), namely extract of [ </w:t>
      </w:r>
      <w:proofErr w:type="gramStart"/>
      <w:r w:rsidRPr="001D27C6">
        <w:rPr>
          <w:rFonts w:cstheme="minorHAnsi"/>
          <w:color w:val="000000"/>
        </w:rPr>
        <w:t xml:space="preserve">  ]</w:t>
      </w:r>
      <w:proofErr w:type="gramEnd"/>
      <w:r w:rsidRPr="001D27C6">
        <w:rPr>
          <w:rStyle w:val="FootnoteReference"/>
          <w:rFonts w:cstheme="minorHAnsi"/>
          <w:color w:val="000000"/>
        </w:rPr>
        <w:footnoteReference w:id="8"/>
      </w:r>
      <w:r w:rsidRPr="001D27C6">
        <w:rPr>
          <w:rFonts w:cstheme="minorHAnsi"/>
          <w:color w:val="000000"/>
        </w:rPr>
        <w:t xml:space="preserve"> </w:t>
      </w:r>
    </w:p>
    <w:p w14:paraId="086191AD" w14:textId="77777777" w:rsidR="00D849C6" w:rsidRPr="001D27C6" w:rsidRDefault="00D849C6">
      <w:pPr>
        <w:pStyle w:val="ListParagraph"/>
        <w:numPr>
          <w:ilvl w:val="0"/>
          <w:numId w:val="38"/>
        </w:numPr>
        <w:autoSpaceDE w:val="0"/>
        <w:autoSpaceDN w:val="0"/>
        <w:adjustRightInd w:val="0"/>
        <w:spacing w:after="0" w:line="276" w:lineRule="auto"/>
        <w:jc w:val="both"/>
        <w:rPr>
          <w:rFonts w:cstheme="minorHAnsi"/>
          <w:color w:val="000000"/>
        </w:rPr>
      </w:pPr>
      <w:r w:rsidRPr="001D27C6">
        <w:rPr>
          <w:rFonts w:cstheme="minorHAnsi"/>
          <w:color w:val="000000"/>
        </w:rPr>
        <w:t xml:space="preserve">Binding Bid Guarantee no [ </w:t>
      </w:r>
      <w:proofErr w:type="gramStart"/>
      <w:r w:rsidRPr="001D27C6">
        <w:rPr>
          <w:rFonts w:cstheme="minorHAnsi"/>
          <w:color w:val="000000"/>
        </w:rPr>
        <w:t xml:space="preserve">  ]</w:t>
      </w:r>
      <w:proofErr w:type="gramEnd"/>
      <w:r w:rsidRPr="001D27C6">
        <w:rPr>
          <w:rFonts w:cstheme="minorHAnsi"/>
          <w:color w:val="000000"/>
        </w:rPr>
        <w:t>, dated [   ]</w:t>
      </w:r>
      <w:r w:rsidRPr="001D27C6">
        <w:rPr>
          <w:rStyle w:val="FootnoteReference"/>
          <w:rFonts w:cstheme="minorHAnsi"/>
          <w:color w:val="000000"/>
        </w:rPr>
        <w:footnoteReference w:id="9"/>
      </w:r>
      <w:r w:rsidRPr="001D27C6">
        <w:rPr>
          <w:rFonts w:cstheme="minorHAnsi"/>
          <w:color w:val="000000"/>
        </w:rPr>
        <w:t xml:space="preserve"> in the form and for the amount provided for in the DESFA’s Binding </w:t>
      </w:r>
      <w:r w:rsidR="00F714C9">
        <w:rPr>
          <w:rFonts w:cstheme="minorHAnsi"/>
          <w:color w:val="000000"/>
        </w:rPr>
        <w:t>Phase</w:t>
      </w:r>
      <w:r w:rsidR="00F714C9" w:rsidRPr="001D27C6">
        <w:rPr>
          <w:rFonts w:cstheme="minorHAnsi"/>
          <w:color w:val="000000"/>
        </w:rPr>
        <w:t xml:space="preserve"> </w:t>
      </w:r>
      <w:r w:rsidRPr="001D27C6">
        <w:rPr>
          <w:rFonts w:cstheme="minorHAnsi"/>
          <w:color w:val="000000"/>
        </w:rPr>
        <w:t>Notice and the Project Proposal.</w:t>
      </w:r>
    </w:p>
    <w:p w14:paraId="221E5139" w14:textId="77777777" w:rsidR="00D849C6" w:rsidRPr="001D27C6" w:rsidRDefault="00D849C6">
      <w:pPr>
        <w:pStyle w:val="ListParagraph"/>
        <w:numPr>
          <w:ilvl w:val="0"/>
          <w:numId w:val="38"/>
        </w:numPr>
        <w:autoSpaceDE w:val="0"/>
        <w:autoSpaceDN w:val="0"/>
        <w:adjustRightInd w:val="0"/>
        <w:spacing w:after="0" w:line="276" w:lineRule="auto"/>
        <w:jc w:val="both"/>
        <w:rPr>
          <w:rFonts w:cstheme="minorHAnsi"/>
          <w:color w:val="000000"/>
        </w:rPr>
      </w:pPr>
      <w:r w:rsidRPr="001D27C6">
        <w:rPr>
          <w:rFonts w:cstheme="minorHAnsi"/>
          <w:color w:val="000000"/>
        </w:rPr>
        <w:t>Declaration by virtue of which the Applicant, as legally represented, declares that all submitted data and information with this Registration Form and the documents accompanied it, including the information hereinabove, are true and genuine.</w:t>
      </w:r>
    </w:p>
    <w:p w14:paraId="001EB41A" w14:textId="77777777" w:rsidR="00D849C6" w:rsidRPr="001D27C6" w:rsidRDefault="00D849C6" w:rsidP="00D849C6">
      <w:pPr>
        <w:autoSpaceDE w:val="0"/>
        <w:autoSpaceDN w:val="0"/>
        <w:adjustRightInd w:val="0"/>
        <w:spacing w:after="0" w:line="276" w:lineRule="auto"/>
        <w:rPr>
          <w:rFonts w:cstheme="minorHAnsi"/>
          <w:color w:val="000000"/>
        </w:rPr>
      </w:pPr>
    </w:p>
    <w:p w14:paraId="34F00C5B" w14:textId="77777777" w:rsidR="00D849C6" w:rsidRPr="001D27C6" w:rsidRDefault="00D849C6" w:rsidP="00D849C6">
      <w:pPr>
        <w:autoSpaceDE w:val="0"/>
        <w:autoSpaceDN w:val="0"/>
        <w:adjustRightInd w:val="0"/>
        <w:spacing w:after="0" w:line="276" w:lineRule="auto"/>
        <w:ind w:left="4253"/>
        <w:rPr>
          <w:rFonts w:cstheme="minorHAnsi"/>
          <w:color w:val="000000"/>
        </w:rPr>
      </w:pPr>
    </w:p>
    <w:p w14:paraId="7816E0C3" w14:textId="77777777" w:rsidR="00D849C6" w:rsidRPr="001D27C6" w:rsidRDefault="00D849C6" w:rsidP="00D849C6">
      <w:pPr>
        <w:autoSpaceDE w:val="0"/>
        <w:autoSpaceDN w:val="0"/>
        <w:adjustRightInd w:val="0"/>
        <w:spacing w:after="0" w:line="276" w:lineRule="auto"/>
        <w:ind w:left="4253"/>
        <w:rPr>
          <w:rFonts w:cstheme="minorHAnsi"/>
          <w:color w:val="000000"/>
        </w:rPr>
      </w:pPr>
      <w:r w:rsidRPr="001D27C6">
        <w:rPr>
          <w:rFonts w:cstheme="minorHAnsi"/>
          <w:color w:val="000000"/>
        </w:rPr>
        <w:t>Date: ____________________________________</w:t>
      </w:r>
    </w:p>
    <w:p w14:paraId="20B9A209" w14:textId="77777777" w:rsidR="00D849C6" w:rsidRPr="001D27C6" w:rsidRDefault="00D849C6" w:rsidP="00D849C6">
      <w:pPr>
        <w:autoSpaceDE w:val="0"/>
        <w:autoSpaceDN w:val="0"/>
        <w:adjustRightInd w:val="0"/>
        <w:spacing w:after="0" w:line="276" w:lineRule="auto"/>
        <w:ind w:left="4253"/>
        <w:rPr>
          <w:rFonts w:cstheme="minorHAnsi"/>
          <w:color w:val="000000"/>
        </w:rPr>
      </w:pPr>
    </w:p>
    <w:p w14:paraId="0C89FD3A" w14:textId="77777777" w:rsidR="00D849C6" w:rsidRPr="001D27C6" w:rsidRDefault="00D849C6" w:rsidP="00D849C6">
      <w:pPr>
        <w:autoSpaceDE w:val="0"/>
        <w:autoSpaceDN w:val="0"/>
        <w:adjustRightInd w:val="0"/>
        <w:spacing w:after="0" w:line="276" w:lineRule="auto"/>
        <w:ind w:left="4253"/>
        <w:rPr>
          <w:rFonts w:cstheme="minorHAnsi"/>
          <w:color w:val="000000"/>
        </w:rPr>
      </w:pPr>
    </w:p>
    <w:p w14:paraId="24C45843" w14:textId="77777777" w:rsidR="00D849C6" w:rsidRPr="001D27C6" w:rsidRDefault="00D849C6" w:rsidP="00D849C6">
      <w:pPr>
        <w:pStyle w:val="BodyText3"/>
        <w:spacing w:line="276" w:lineRule="auto"/>
        <w:ind w:left="4253"/>
        <w:rPr>
          <w:rFonts w:asciiTheme="minorHAnsi" w:hAnsiTheme="minorHAnsi" w:cstheme="minorHAnsi"/>
          <w:b w:val="0"/>
          <w:sz w:val="22"/>
          <w:szCs w:val="22"/>
          <w:lang w:val="en-US"/>
        </w:rPr>
      </w:pPr>
      <w:r w:rsidRPr="001D27C6">
        <w:rPr>
          <w:rFonts w:asciiTheme="minorHAnsi" w:eastAsiaTheme="minorHAnsi" w:hAnsiTheme="minorHAnsi" w:cstheme="minorHAnsi"/>
          <w:b w:val="0"/>
          <w:color w:val="000000"/>
          <w:sz w:val="22"/>
          <w:szCs w:val="22"/>
          <w:lang w:val="en-US" w:eastAsia="en-US"/>
        </w:rPr>
        <w:t>Signature</w:t>
      </w:r>
      <w:r w:rsidRPr="001D27C6">
        <w:rPr>
          <w:rFonts w:asciiTheme="minorHAnsi" w:hAnsiTheme="minorHAnsi" w:cstheme="minorHAnsi"/>
          <w:color w:val="000000"/>
          <w:sz w:val="22"/>
          <w:szCs w:val="22"/>
          <w:lang w:val="en-US"/>
        </w:rPr>
        <w:t xml:space="preserve">: </w:t>
      </w:r>
      <w:r w:rsidRPr="003A3341">
        <w:rPr>
          <w:rFonts w:asciiTheme="minorHAnsi" w:hAnsiTheme="minorHAnsi" w:cstheme="minorHAnsi"/>
          <w:b w:val="0"/>
          <w:bCs/>
          <w:color w:val="000000"/>
          <w:sz w:val="22"/>
          <w:szCs w:val="22"/>
          <w:lang w:val="en-US"/>
        </w:rPr>
        <w:t>___________________________________</w:t>
      </w:r>
    </w:p>
    <w:p w14:paraId="1B7AD30A" w14:textId="77777777" w:rsidR="00D849C6" w:rsidRPr="001D27C6" w:rsidRDefault="00D849C6">
      <w:pPr>
        <w:rPr>
          <w:rFonts w:cstheme="minorHAnsi"/>
        </w:rPr>
      </w:pPr>
      <w:r w:rsidRPr="001D27C6">
        <w:rPr>
          <w:rFonts w:cstheme="minorHAnsi"/>
        </w:rPr>
        <w:br w:type="page"/>
      </w:r>
    </w:p>
    <w:p w14:paraId="51FEF229" w14:textId="77777777" w:rsidR="00D849C6" w:rsidRPr="001D27C6" w:rsidRDefault="00D849C6" w:rsidP="00D849C6">
      <w:pPr>
        <w:pStyle w:val="Heading3"/>
        <w:pBdr>
          <w:bottom w:val="single" w:sz="4" w:space="1" w:color="auto"/>
        </w:pBdr>
        <w:rPr>
          <w:sz w:val="36"/>
          <w:szCs w:val="36"/>
        </w:rPr>
      </w:pPr>
      <w:bookmarkStart w:id="71" w:name="_Toc71289538"/>
      <w:bookmarkStart w:id="72" w:name="_Toc119485266"/>
      <w:r w:rsidRPr="001D27C6">
        <w:rPr>
          <w:sz w:val="36"/>
          <w:szCs w:val="36"/>
        </w:rPr>
        <w:lastRenderedPageBreak/>
        <w:t>Annex II - Binding Bid Form</w:t>
      </w:r>
      <w:bookmarkEnd w:id="71"/>
      <w:bookmarkEnd w:id="72"/>
    </w:p>
    <w:p w14:paraId="3C9CEC55" w14:textId="77777777" w:rsidR="00D849C6" w:rsidRPr="001D27C6" w:rsidRDefault="00D849C6" w:rsidP="00D849C6">
      <w:pPr>
        <w:pStyle w:val="BodyText3"/>
        <w:spacing w:line="276" w:lineRule="auto"/>
        <w:rPr>
          <w:rFonts w:asciiTheme="minorHAnsi" w:hAnsiTheme="minorHAnsi" w:cstheme="minorHAnsi"/>
          <w:b w:val="0"/>
          <w:sz w:val="20"/>
          <w:szCs w:val="20"/>
          <w:lang w:val="en-US"/>
        </w:rPr>
      </w:pPr>
    </w:p>
    <w:p w14:paraId="6B233FC2" w14:textId="77777777" w:rsidR="00D849C6" w:rsidRPr="001D27C6" w:rsidRDefault="00D849C6" w:rsidP="00D849C6">
      <w:pPr>
        <w:pStyle w:val="BodyText3"/>
        <w:spacing w:line="276" w:lineRule="auto"/>
        <w:rPr>
          <w:rFonts w:asciiTheme="minorHAnsi" w:hAnsiTheme="minorHAnsi" w:cstheme="minorHAnsi"/>
          <w:b w:val="0"/>
          <w:sz w:val="22"/>
          <w:szCs w:val="22"/>
          <w:lang w:val="en-US"/>
        </w:rPr>
      </w:pPr>
      <w:r w:rsidRPr="001D27C6">
        <w:rPr>
          <w:rFonts w:asciiTheme="minorHAnsi" w:hAnsiTheme="minorHAnsi" w:cstheme="minorHAnsi"/>
          <w:sz w:val="22"/>
          <w:szCs w:val="22"/>
          <w:lang w:val="en-US"/>
        </w:rPr>
        <w:t>To</w:t>
      </w:r>
    </w:p>
    <w:p w14:paraId="4251EF3C" w14:textId="77777777" w:rsidR="006C56AD" w:rsidRPr="001D27C6" w:rsidRDefault="006C56AD" w:rsidP="006C56AD">
      <w:pPr>
        <w:pStyle w:val="Default"/>
        <w:rPr>
          <w:rFonts w:asciiTheme="minorHAnsi" w:hAnsiTheme="minorHAnsi" w:cstheme="minorHAnsi"/>
          <w:b/>
          <w:sz w:val="22"/>
          <w:szCs w:val="22"/>
        </w:rPr>
      </w:pPr>
      <w:r w:rsidRPr="001D27C6">
        <w:rPr>
          <w:rFonts w:asciiTheme="minorHAnsi" w:hAnsiTheme="minorHAnsi" w:cstheme="minorHAnsi"/>
          <w:b/>
          <w:sz w:val="22"/>
          <w:szCs w:val="22"/>
        </w:rPr>
        <w:t>DESFA</w:t>
      </w:r>
    </w:p>
    <w:p w14:paraId="5C53B114" w14:textId="77777777" w:rsidR="006C56AD" w:rsidRPr="001D27C6" w:rsidRDefault="006C56AD" w:rsidP="006C56AD">
      <w:pPr>
        <w:pStyle w:val="Default"/>
        <w:rPr>
          <w:rFonts w:asciiTheme="minorHAnsi" w:hAnsiTheme="minorHAnsi" w:cstheme="minorHAnsi"/>
          <w:b/>
          <w:sz w:val="22"/>
          <w:szCs w:val="22"/>
        </w:rPr>
      </w:pPr>
      <w:r w:rsidRPr="001D27C6">
        <w:rPr>
          <w:rFonts w:asciiTheme="minorHAnsi" w:hAnsiTheme="minorHAnsi" w:cstheme="minorHAnsi"/>
          <w:b/>
          <w:sz w:val="22"/>
          <w:szCs w:val="22"/>
        </w:rPr>
        <w:t>Commercial Services Division</w:t>
      </w:r>
    </w:p>
    <w:p w14:paraId="11BD35C5" w14:textId="77777777" w:rsidR="006C56AD" w:rsidRPr="001D27C6" w:rsidRDefault="00000000" w:rsidP="006C56AD">
      <w:pPr>
        <w:pStyle w:val="Default"/>
        <w:rPr>
          <w:rFonts w:asciiTheme="minorHAnsi" w:hAnsiTheme="minorHAnsi" w:cstheme="minorHAnsi"/>
          <w:sz w:val="22"/>
          <w:szCs w:val="22"/>
        </w:rPr>
      </w:pPr>
      <w:hyperlink r:id="rId21" w:history="1">
        <w:r w:rsidR="006C56AD" w:rsidRPr="001D27C6">
          <w:rPr>
            <w:rStyle w:val="Hyperlink"/>
            <w:rFonts w:asciiTheme="minorHAnsi" w:hAnsiTheme="minorHAnsi" w:cstheme="minorHAnsi"/>
            <w:sz w:val="22"/>
            <w:szCs w:val="22"/>
          </w:rPr>
          <w:t>market-test@DESFA.GR</w:t>
        </w:r>
      </w:hyperlink>
      <w:r w:rsidR="006C56AD" w:rsidRPr="001D27C6">
        <w:rPr>
          <w:rFonts w:asciiTheme="minorHAnsi" w:hAnsiTheme="minorHAnsi" w:cstheme="minorHAnsi"/>
          <w:sz w:val="22"/>
          <w:szCs w:val="22"/>
        </w:rPr>
        <w:t xml:space="preserve">  </w:t>
      </w:r>
    </w:p>
    <w:p w14:paraId="22C47074" w14:textId="77777777" w:rsidR="006C56AD" w:rsidRPr="001D27C6" w:rsidRDefault="006C56AD" w:rsidP="006C56AD">
      <w:pPr>
        <w:pStyle w:val="Default"/>
        <w:rPr>
          <w:rFonts w:asciiTheme="minorHAnsi" w:hAnsiTheme="minorHAnsi" w:cstheme="minorHAnsi"/>
          <w:sz w:val="22"/>
          <w:szCs w:val="22"/>
        </w:rPr>
      </w:pPr>
      <w:r w:rsidRPr="001D27C6">
        <w:rPr>
          <w:rFonts w:asciiTheme="minorHAnsi" w:hAnsiTheme="minorHAnsi" w:cstheme="minorHAnsi"/>
          <w:sz w:val="22"/>
          <w:szCs w:val="22"/>
        </w:rPr>
        <w:t xml:space="preserve">357-359 </w:t>
      </w:r>
      <w:proofErr w:type="spellStart"/>
      <w:r w:rsidRPr="001D27C6">
        <w:rPr>
          <w:rFonts w:asciiTheme="minorHAnsi" w:hAnsiTheme="minorHAnsi" w:cstheme="minorHAnsi"/>
          <w:sz w:val="22"/>
          <w:szCs w:val="22"/>
        </w:rPr>
        <w:t>Messogion</w:t>
      </w:r>
      <w:proofErr w:type="spellEnd"/>
      <w:r w:rsidRPr="001D27C6">
        <w:rPr>
          <w:rFonts w:asciiTheme="minorHAnsi" w:hAnsiTheme="minorHAnsi" w:cstheme="minorHAnsi"/>
          <w:sz w:val="22"/>
          <w:szCs w:val="22"/>
        </w:rPr>
        <w:t xml:space="preserve"> Ave.,</w:t>
      </w:r>
    </w:p>
    <w:p w14:paraId="651ADA38" w14:textId="77777777" w:rsidR="006C56AD" w:rsidRPr="001D27C6" w:rsidRDefault="006C56AD" w:rsidP="006C56AD">
      <w:pPr>
        <w:pStyle w:val="Default"/>
        <w:rPr>
          <w:rFonts w:asciiTheme="minorHAnsi" w:hAnsiTheme="minorHAnsi" w:cstheme="minorHAnsi"/>
          <w:sz w:val="22"/>
          <w:szCs w:val="22"/>
        </w:rPr>
      </w:pPr>
      <w:r w:rsidRPr="001D27C6">
        <w:rPr>
          <w:rFonts w:asciiTheme="minorHAnsi" w:hAnsiTheme="minorHAnsi" w:cstheme="minorHAnsi"/>
          <w:sz w:val="22"/>
          <w:szCs w:val="22"/>
        </w:rPr>
        <w:t>Athens, 15231, Greece</w:t>
      </w:r>
    </w:p>
    <w:p w14:paraId="52328C81" w14:textId="77777777" w:rsidR="006C56AD" w:rsidRPr="001D27C6" w:rsidRDefault="00000000" w:rsidP="006C56AD">
      <w:pPr>
        <w:pStyle w:val="Default"/>
        <w:rPr>
          <w:rFonts w:asciiTheme="minorHAnsi" w:hAnsiTheme="minorHAnsi" w:cstheme="minorHAnsi"/>
          <w:sz w:val="22"/>
          <w:szCs w:val="22"/>
        </w:rPr>
      </w:pPr>
      <w:hyperlink r:id="rId22" w:history="1">
        <w:r w:rsidR="006C56AD" w:rsidRPr="001D27C6">
          <w:rPr>
            <w:rStyle w:val="Hyperlink"/>
            <w:rFonts w:asciiTheme="minorHAnsi" w:hAnsiTheme="minorHAnsi" w:cstheme="minorHAnsi"/>
            <w:sz w:val="22"/>
            <w:szCs w:val="22"/>
          </w:rPr>
          <w:t>www.desfa.gr</w:t>
        </w:r>
      </w:hyperlink>
      <w:r w:rsidR="006C56AD" w:rsidRPr="001D27C6">
        <w:rPr>
          <w:rFonts w:asciiTheme="minorHAnsi" w:hAnsiTheme="minorHAnsi" w:cstheme="minorHAnsi"/>
          <w:sz w:val="22"/>
          <w:szCs w:val="22"/>
        </w:rPr>
        <w:t xml:space="preserve"> </w:t>
      </w:r>
    </w:p>
    <w:p w14:paraId="78451BDC" w14:textId="77777777" w:rsidR="00D849C6" w:rsidRPr="001D27C6" w:rsidRDefault="00D849C6" w:rsidP="00D849C6">
      <w:pPr>
        <w:pStyle w:val="BodyText3"/>
        <w:tabs>
          <w:tab w:val="left" w:pos="5685"/>
        </w:tabs>
        <w:spacing w:line="276" w:lineRule="auto"/>
        <w:rPr>
          <w:rFonts w:asciiTheme="minorHAnsi" w:hAnsiTheme="minorHAnsi" w:cstheme="minorHAnsi"/>
          <w:b w:val="0"/>
          <w:sz w:val="22"/>
          <w:szCs w:val="22"/>
          <w:lang w:val="en-US"/>
        </w:rPr>
      </w:pPr>
    </w:p>
    <w:p w14:paraId="0E4AAF73" w14:textId="77777777" w:rsidR="00D849C6" w:rsidRPr="001D27C6" w:rsidRDefault="00D849C6" w:rsidP="00D849C6">
      <w:pPr>
        <w:pStyle w:val="BodyText3"/>
        <w:tabs>
          <w:tab w:val="left" w:pos="5685"/>
        </w:tabs>
        <w:spacing w:line="276" w:lineRule="auto"/>
        <w:rPr>
          <w:rFonts w:asciiTheme="minorHAnsi" w:hAnsiTheme="minorHAnsi" w:cstheme="minorHAnsi"/>
          <w:b w:val="0"/>
          <w:sz w:val="22"/>
          <w:szCs w:val="22"/>
          <w:lang w:val="en-US"/>
        </w:rPr>
      </w:pPr>
    </w:p>
    <w:p w14:paraId="6239913D" w14:textId="39B5A7EA" w:rsidR="00D849C6" w:rsidRPr="00F714C9" w:rsidRDefault="00D849C6" w:rsidP="00D849C6">
      <w:pPr>
        <w:pStyle w:val="BodyText3"/>
        <w:spacing w:line="240" w:lineRule="auto"/>
        <w:jc w:val="center"/>
        <w:rPr>
          <w:rFonts w:asciiTheme="minorHAnsi" w:hAnsiTheme="minorHAnsi" w:cstheme="minorHAnsi"/>
          <w:b w:val="0"/>
          <w:sz w:val="22"/>
          <w:szCs w:val="22"/>
          <w:lang w:val="en-US"/>
        </w:rPr>
      </w:pPr>
      <w:r w:rsidRPr="00F714C9">
        <w:rPr>
          <w:rFonts w:asciiTheme="minorHAnsi" w:hAnsiTheme="minorHAnsi" w:cstheme="minorHAnsi"/>
          <w:sz w:val="22"/>
          <w:szCs w:val="22"/>
          <w:lang w:val="en-US"/>
        </w:rPr>
        <w:t>Binding Bid Form for the participation to the Binding Bid</w:t>
      </w:r>
      <w:r w:rsidR="00F528AD" w:rsidRPr="00F714C9">
        <w:rPr>
          <w:rFonts w:asciiTheme="minorHAnsi" w:hAnsiTheme="minorHAnsi" w:cstheme="minorHAnsi"/>
          <w:sz w:val="22"/>
          <w:szCs w:val="22"/>
          <w:lang w:val="en-US"/>
        </w:rPr>
        <w:t>d</w:t>
      </w:r>
      <w:r w:rsidRPr="00F714C9">
        <w:rPr>
          <w:rFonts w:asciiTheme="minorHAnsi" w:hAnsiTheme="minorHAnsi" w:cstheme="minorHAnsi"/>
          <w:sz w:val="22"/>
          <w:szCs w:val="22"/>
          <w:lang w:val="en-US"/>
        </w:rPr>
        <w:t xml:space="preserve">ing Phase of the </w:t>
      </w:r>
      <w:r w:rsidR="002E0539" w:rsidRPr="00F714C9">
        <w:rPr>
          <w:rFonts w:asciiTheme="minorHAnsi" w:hAnsiTheme="minorHAnsi" w:cstheme="minorHAnsi"/>
          <w:sz w:val="22"/>
          <w:szCs w:val="22"/>
          <w:lang w:val="en-US"/>
        </w:rPr>
        <w:t>20</w:t>
      </w:r>
      <w:r w:rsidR="002E0539">
        <w:rPr>
          <w:rFonts w:asciiTheme="minorHAnsi" w:hAnsiTheme="minorHAnsi" w:cstheme="minorHAnsi"/>
          <w:sz w:val="22"/>
          <w:szCs w:val="22"/>
          <w:lang w:val="en-US"/>
        </w:rPr>
        <w:t>21</w:t>
      </w:r>
      <w:r w:rsidR="002E0539" w:rsidRPr="00F714C9">
        <w:rPr>
          <w:rFonts w:asciiTheme="minorHAnsi" w:hAnsiTheme="minorHAnsi" w:cstheme="minorHAnsi"/>
          <w:sz w:val="22"/>
          <w:szCs w:val="22"/>
          <w:lang w:val="en-US"/>
        </w:rPr>
        <w:t xml:space="preserve"> </w:t>
      </w:r>
      <w:r w:rsidRPr="00F714C9">
        <w:rPr>
          <w:rFonts w:asciiTheme="minorHAnsi" w:hAnsiTheme="minorHAnsi" w:cstheme="minorHAnsi"/>
          <w:sz w:val="22"/>
          <w:szCs w:val="22"/>
          <w:lang w:val="en-US"/>
        </w:rPr>
        <w:t>Incremental Capacity Process</w:t>
      </w:r>
      <w:r w:rsidRPr="00413C78">
        <w:rPr>
          <w:rFonts w:asciiTheme="minorHAnsi" w:hAnsiTheme="minorHAnsi" w:cstheme="minorHAnsi"/>
          <w:sz w:val="22"/>
          <w:szCs w:val="22"/>
          <w:lang w:val="en-US"/>
        </w:rPr>
        <w:t xml:space="preserve"> </w:t>
      </w:r>
      <w:r w:rsidRPr="00F714C9">
        <w:rPr>
          <w:rFonts w:asciiTheme="minorHAnsi" w:hAnsiTheme="minorHAnsi" w:cstheme="minorHAnsi"/>
          <w:sz w:val="22"/>
          <w:szCs w:val="22"/>
          <w:lang w:val="en-US"/>
        </w:rPr>
        <w:t xml:space="preserve">carried out jointly by </w:t>
      </w:r>
      <w:proofErr w:type="spellStart"/>
      <w:r w:rsidRPr="00F714C9">
        <w:rPr>
          <w:rFonts w:asciiTheme="minorHAnsi" w:hAnsiTheme="minorHAnsi" w:cstheme="minorHAnsi"/>
          <w:sz w:val="22"/>
          <w:szCs w:val="22"/>
          <w:lang w:val="en-US"/>
        </w:rPr>
        <w:t>Snam</w:t>
      </w:r>
      <w:proofErr w:type="spellEnd"/>
      <w:r w:rsidRPr="00F714C9">
        <w:rPr>
          <w:rFonts w:asciiTheme="minorHAnsi" w:hAnsiTheme="minorHAnsi" w:cstheme="minorHAnsi"/>
          <w:sz w:val="22"/>
          <w:szCs w:val="22"/>
          <w:lang w:val="en-US"/>
        </w:rPr>
        <w:t xml:space="preserve"> Rete Gas (SRG), Trans Adriatic Pipeline (TAP) and the Operator of the National Natural Gas Transmission system of Greece (DESFA).</w:t>
      </w:r>
    </w:p>
    <w:p w14:paraId="5585AF6B" w14:textId="77777777" w:rsidR="00D849C6" w:rsidRPr="00F714C9" w:rsidRDefault="00D849C6" w:rsidP="00D849C6">
      <w:pPr>
        <w:pStyle w:val="alignjustify"/>
        <w:spacing w:before="480"/>
        <w:jc w:val="both"/>
        <w:rPr>
          <w:rFonts w:asciiTheme="minorHAnsi" w:hAnsiTheme="minorHAnsi" w:cstheme="minorHAnsi"/>
          <w:sz w:val="22"/>
          <w:szCs w:val="22"/>
          <w:lang w:val="en-US"/>
        </w:rPr>
      </w:pPr>
      <w:r w:rsidRPr="00F714C9">
        <w:rPr>
          <w:rFonts w:asciiTheme="minorHAnsi" w:hAnsiTheme="minorHAnsi" w:cstheme="minorHAnsi"/>
          <w:sz w:val="22"/>
          <w:szCs w:val="22"/>
          <w:lang w:val="en-US"/>
        </w:rPr>
        <w:t>The undersigned ……………...  in his/her capacity as …………... acting in the name and on behalf of ……………………. incorporated under the laws of …</w:t>
      </w:r>
      <w:proofErr w:type="gramStart"/>
      <w:r w:rsidRPr="00F714C9">
        <w:rPr>
          <w:rFonts w:asciiTheme="minorHAnsi" w:hAnsiTheme="minorHAnsi" w:cstheme="minorHAnsi"/>
          <w:sz w:val="22"/>
          <w:szCs w:val="22"/>
          <w:lang w:val="en-US"/>
        </w:rPr>
        <w:t>….…..</w:t>
      </w:r>
      <w:proofErr w:type="gramEnd"/>
      <w:r w:rsidRPr="00F714C9">
        <w:rPr>
          <w:rFonts w:asciiTheme="minorHAnsi" w:hAnsiTheme="minorHAnsi" w:cstheme="minorHAnsi"/>
          <w:sz w:val="22"/>
          <w:szCs w:val="22"/>
          <w:lang w:val="en-US"/>
        </w:rPr>
        <w:t>, having its headquarters and registered office at …………….., registered under the registration number ………………(hereinafter the Company);</w:t>
      </w:r>
    </w:p>
    <w:p w14:paraId="04A7890C" w14:textId="77777777" w:rsidR="00D849C6" w:rsidRPr="00F714C9" w:rsidRDefault="00D849C6" w:rsidP="00D849C6">
      <w:pPr>
        <w:pStyle w:val="alignjustify"/>
        <w:spacing w:before="360" w:after="120" w:afterAutospacing="0" w:line="276" w:lineRule="auto"/>
        <w:jc w:val="center"/>
        <w:rPr>
          <w:rFonts w:asciiTheme="minorHAnsi" w:hAnsiTheme="minorHAnsi" w:cstheme="minorHAnsi"/>
          <w:sz w:val="22"/>
          <w:szCs w:val="22"/>
        </w:rPr>
      </w:pPr>
      <w:r w:rsidRPr="00F714C9">
        <w:rPr>
          <w:rFonts w:asciiTheme="minorHAnsi" w:hAnsiTheme="minorHAnsi" w:cstheme="minorHAnsi"/>
          <w:sz w:val="22"/>
          <w:szCs w:val="22"/>
        </w:rPr>
        <w:t>Declares</w:t>
      </w:r>
    </w:p>
    <w:p w14:paraId="2A41376D" w14:textId="77777777" w:rsidR="00D849C6" w:rsidRPr="00413C78" w:rsidRDefault="00D849C6" w:rsidP="00D01A43">
      <w:pPr>
        <w:pStyle w:val="BodyText2"/>
        <w:tabs>
          <w:tab w:val="left" w:pos="0"/>
        </w:tabs>
        <w:spacing w:after="240"/>
        <w:rPr>
          <w:rFonts w:asciiTheme="minorHAnsi" w:hAnsiTheme="minorHAnsi" w:cstheme="minorHAnsi"/>
          <w:sz w:val="22"/>
          <w:szCs w:val="22"/>
          <w:lang w:val="en-US"/>
        </w:rPr>
      </w:pPr>
      <w:r w:rsidRPr="00413C78">
        <w:rPr>
          <w:rFonts w:asciiTheme="minorHAnsi" w:hAnsiTheme="minorHAnsi" w:cstheme="minorHAnsi"/>
          <w:sz w:val="22"/>
          <w:szCs w:val="22"/>
          <w:lang w:val="en-US"/>
        </w:rPr>
        <w:t>To have submitted, or will submit also to TAP, a</w:t>
      </w:r>
      <w:r w:rsidR="00F528AD" w:rsidRPr="00413C78">
        <w:rPr>
          <w:rFonts w:asciiTheme="minorHAnsi" w:hAnsiTheme="minorHAnsi" w:cstheme="minorHAnsi"/>
          <w:sz w:val="22"/>
          <w:szCs w:val="22"/>
          <w:lang w:val="en-US"/>
        </w:rPr>
        <w:t>n</w:t>
      </w:r>
      <w:r w:rsidRPr="00413C78">
        <w:rPr>
          <w:rFonts w:asciiTheme="minorHAnsi" w:hAnsiTheme="minorHAnsi" w:cstheme="minorHAnsi"/>
          <w:sz w:val="22"/>
          <w:szCs w:val="22"/>
          <w:lang w:val="en-US"/>
        </w:rPr>
        <w:t xml:space="preserve"> </w:t>
      </w:r>
      <w:r w:rsidR="00F528AD" w:rsidRPr="00413C78">
        <w:rPr>
          <w:rFonts w:asciiTheme="minorHAnsi" w:hAnsiTheme="minorHAnsi" w:cstheme="minorHAnsi"/>
          <w:sz w:val="22"/>
          <w:szCs w:val="22"/>
          <w:lang w:val="en-US"/>
        </w:rPr>
        <w:t xml:space="preserve">identical </w:t>
      </w:r>
      <w:r w:rsidRPr="00413C78">
        <w:rPr>
          <w:rFonts w:asciiTheme="minorHAnsi" w:hAnsiTheme="minorHAnsi" w:cstheme="minorHAnsi"/>
          <w:sz w:val="22"/>
          <w:szCs w:val="22"/>
          <w:lang w:val="en-US"/>
        </w:rPr>
        <w:t xml:space="preserve">Binding Bid for the incremental capacity requested at the </w:t>
      </w:r>
      <w:proofErr w:type="spellStart"/>
      <w:r w:rsidRPr="00413C78">
        <w:rPr>
          <w:rFonts w:asciiTheme="minorHAnsi" w:hAnsiTheme="minorHAnsi" w:cstheme="minorHAnsi"/>
          <w:sz w:val="22"/>
          <w:szCs w:val="22"/>
          <w:lang w:val="en-US"/>
        </w:rPr>
        <w:t>Nea</w:t>
      </w:r>
      <w:proofErr w:type="spellEnd"/>
      <w:r w:rsidRPr="00413C78">
        <w:rPr>
          <w:rFonts w:asciiTheme="minorHAnsi" w:hAnsiTheme="minorHAnsi" w:cstheme="minorHAnsi"/>
          <w:sz w:val="22"/>
          <w:szCs w:val="22"/>
          <w:lang w:val="en-US"/>
        </w:rPr>
        <w:t xml:space="preserve"> Mesimvria Interconnection Point</w:t>
      </w:r>
      <w:r w:rsidR="00D01A43" w:rsidRPr="00413C78">
        <w:rPr>
          <w:rFonts w:asciiTheme="minorHAnsi" w:hAnsiTheme="minorHAnsi" w:cstheme="minorHAnsi"/>
          <w:sz w:val="22"/>
          <w:szCs w:val="22"/>
          <w:lang w:val="en-US"/>
        </w:rPr>
        <w:t>.</w:t>
      </w:r>
    </w:p>
    <w:p w14:paraId="22F80E91" w14:textId="77777777" w:rsidR="00D849C6" w:rsidRPr="00413C78" w:rsidRDefault="00D849C6" w:rsidP="00D849C6">
      <w:pPr>
        <w:pStyle w:val="BodyText2"/>
        <w:tabs>
          <w:tab w:val="left" w:pos="0"/>
        </w:tabs>
        <w:spacing w:before="240" w:line="276" w:lineRule="auto"/>
        <w:ind w:left="426"/>
        <w:jc w:val="center"/>
        <w:rPr>
          <w:rFonts w:asciiTheme="minorHAnsi" w:hAnsiTheme="minorHAnsi" w:cstheme="minorHAnsi"/>
          <w:sz w:val="22"/>
          <w:szCs w:val="22"/>
          <w:lang w:val="en-US"/>
        </w:rPr>
      </w:pPr>
      <w:r w:rsidRPr="00413C78">
        <w:rPr>
          <w:rFonts w:asciiTheme="minorHAnsi" w:hAnsiTheme="minorHAnsi" w:cstheme="minorHAnsi"/>
          <w:sz w:val="22"/>
          <w:szCs w:val="22"/>
          <w:lang w:val="en-US"/>
        </w:rPr>
        <w:t xml:space="preserve">Accepts and recognizes that </w:t>
      </w:r>
    </w:p>
    <w:p w14:paraId="21538C79" w14:textId="77777777" w:rsidR="00D849C6" w:rsidRPr="00413C78" w:rsidRDefault="00D849C6">
      <w:pPr>
        <w:pStyle w:val="BodyText2"/>
        <w:numPr>
          <w:ilvl w:val="0"/>
          <w:numId w:val="34"/>
        </w:numPr>
        <w:tabs>
          <w:tab w:val="left" w:pos="0"/>
        </w:tabs>
        <w:spacing w:after="240"/>
        <w:ind w:left="284" w:hanging="284"/>
        <w:rPr>
          <w:rFonts w:asciiTheme="minorHAnsi" w:hAnsiTheme="minorHAnsi" w:cstheme="minorHAnsi"/>
          <w:sz w:val="22"/>
          <w:szCs w:val="22"/>
          <w:lang w:val="en-US"/>
        </w:rPr>
      </w:pPr>
      <w:r w:rsidRPr="00413C78">
        <w:rPr>
          <w:rFonts w:asciiTheme="minorHAnsi" w:hAnsiTheme="minorHAnsi" w:cstheme="minorHAnsi"/>
          <w:sz w:val="22"/>
          <w:szCs w:val="22"/>
          <w:lang w:val="en-US"/>
        </w:rPr>
        <w:t xml:space="preserve">The Capacity Allocation referred to in the Incremental Capacity Process is subject to the positive outcome of the </w:t>
      </w:r>
      <w:r w:rsidR="009147EC" w:rsidRPr="00413C78">
        <w:rPr>
          <w:rFonts w:asciiTheme="minorHAnsi" w:hAnsiTheme="minorHAnsi" w:cstheme="minorHAnsi"/>
          <w:sz w:val="22"/>
          <w:szCs w:val="22"/>
          <w:lang w:val="en-US"/>
        </w:rPr>
        <w:t>Economic Viability Test (</w:t>
      </w:r>
      <w:r w:rsidRPr="00413C78">
        <w:rPr>
          <w:rFonts w:asciiTheme="minorHAnsi" w:hAnsiTheme="minorHAnsi" w:cstheme="minorHAnsi"/>
          <w:sz w:val="22"/>
          <w:szCs w:val="22"/>
          <w:lang w:val="en-US"/>
        </w:rPr>
        <w:t>EVT</w:t>
      </w:r>
      <w:r w:rsidR="009147EC" w:rsidRPr="00413C78">
        <w:rPr>
          <w:rFonts w:asciiTheme="minorHAnsi" w:hAnsiTheme="minorHAnsi" w:cstheme="minorHAnsi"/>
          <w:sz w:val="22"/>
          <w:szCs w:val="22"/>
          <w:lang w:val="en-US"/>
        </w:rPr>
        <w:t>)</w:t>
      </w:r>
      <w:r w:rsidRPr="00413C78">
        <w:rPr>
          <w:rFonts w:asciiTheme="minorHAnsi" w:hAnsiTheme="minorHAnsi" w:cstheme="minorHAnsi"/>
          <w:sz w:val="22"/>
          <w:szCs w:val="22"/>
          <w:lang w:val="en-US"/>
        </w:rPr>
        <w:t xml:space="preserve"> of the TSOs </w:t>
      </w:r>
      <w:proofErr w:type="gramStart"/>
      <w:r w:rsidRPr="00413C78">
        <w:rPr>
          <w:rFonts w:asciiTheme="minorHAnsi" w:hAnsiTheme="minorHAnsi" w:cstheme="minorHAnsi"/>
          <w:sz w:val="22"/>
          <w:szCs w:val="22"/>
          <w:lang w:val="en-US"/>
        </w:rPr>
        <w:t>concerned;</w:t>
      </w:r>
      <w:proofErr w:type="gramEnd"/>
    </w:p>
    <w:p w14:paraId="1D40AF7D" w14:textId="50C6C6BE" w:rsidR="00D849C6" w:rsidRPr="00413C78" w:rsidRDefault="00D849C6">
      <w:pPr>
        <w:pStyle w:val="BodyText2"/>
        <w:numPr>
          <w:ilvl w:val="0"/>
          <w:numId w:val="34"/>
        </w:numPr>
        <w:tabs>
          <w:tab w:val="left" w:pos="0"/>
        </w:tabs>
        <w:spacing w:after="240"/>
        <w:ind w:left="284" w:hanging="284"/>
        <w:rPr>
          <w:rFonts w:asciiTheme="minorHAnsi" w:hAnsiTheme="minorHAnsi" w:cstheme="minorHAnsi"/>
          <w:sz w:val="22"/>
          <w:szCs w:val="22"/>
          <w:lang w:val="en-US"/>
        </w:rPr>
      </w:pPr>
      <w:r w:rsidRPr="00413C78">
        <w:rPr>
          <w:rFonts w:asciiTheme="minorHAnsi" w:hAnsiTheme="minorHAnsi" w:cstheme="minorHAnsi"/>
          <w:sz w:val="22"/>
          <w:szCs w:val="22"/>
          <w:lang w:val="en-US"/>
        </w:rPr>
        <w:t xml:space="preserve">In case of a negative outcome of an EVT, </w:t>
      </w:r>
      <w:r w:rsidR="00376C7A">
        <w:rPr>
          <w:rFonts w:asciiTheme="minorHAnsi" w:hAnsiTheme="minorHAnsi" w:cstheme="minorHAnsi"/>
          <w:sz w:val="22"/>
          <w:szCs w:val="22"/>
          <w:lang w:val="en-US"/>
        </w:rPr>
        <w:t>DESFA</w:t>
      </w:r>
      <w:r w:rsidRPr="00413C78">
        <w:rPr>
          <w:rFonts w:asciiTheme="minorHAnsi" w:hAnsiTheme="minorHAnsi" w:cstheme="minorHAnsi"/>
          <w:sz w:val="22"/>
          <w:szCs w:val="22"/>
          <w:lang w:val="en-US"/>
        </w:rPr>
        <w:t xml:space="preserve"> shall return any bank guarantees submitted and no transmission capacity will be contractually </w:t>
      </w:r>
      <w:proofErr w:type="gramStart"/>
      <w:r w:rsidRPr="00413C78">
        <w:rPr>
          <w:rFonts w:asciiTheme="minorHAnsi" w:hAnsiTheme="minorHAnsi" w:cstheme="minorHAnsi"/>
          <w:sz w:val="22"/>
          <w:szCs w:val="22"/>
          <w:lang w:val="en-US"/>
        </w:rPr>
        <w:t>allocated;</w:t>
      </w:r>
      <w:proofErr w:type="gramEnd"/>
    </w:p>
    <w:p w14:paraId="5599045C" w14:textId="77777777" w:rsidR="00D849C6" w:rsidRPr="00413C78" w:rsidRDefault="00D849C6">
      <w:pPr>
        <w:pStyle w:val="BodyText2"/>
        <w:numPr>
          <w:ilvl w:val="0"/>
          <w:numId w:val="34"/>
        </w:numPr>
        <w:tabs>
          <w:tab w:val="left" w:pos="0"/>
        </w:tabs>
        <w:spacing w:after="240"/>
        <w:ind w:left="284" w:hanging="284"/>
        <w:rPr>
          <w:rFonts w:asciiTheme="minorHAnsi" w:hAnsiTheme="minorHAnsi" w:cstheme="minorHAnsi"/>
          <w:sz w:val="22"/>
          <w:szCs w:val="22"/>
          <w:lang w:val="en-US"/>
        </w:rPr>
      </w:pPr>
      <w:r w:rsidRPr="00413C78">
        <w:rPr>
          <w:rFonts w:asciiTheme="minorHAnsi" w:hAnsiTheme="minorHAnsi" w:cstheme="minorHAnsi"/>
          <w:sz w:val="22"/>
          <w:szCs w:val="22"/>
          <w:lang w:val="en-US"/>
        </w:rPr>
        <w:t xml:space="preserve">In case of a positive outcome of the </w:t>
      </w:r>
      <w:r w:rsidR="00DF45A8" w:rsidRPr="00413C78">
        <w:rPr>
          <w:rFonts w:asciiTheme="minorHAnsi" w:hAnsiTheme="minorHAnsi" w:cstheme="minorHAnsi"/>
          <w:sz w:val="22"/>
          <w:szCs w:val="22"/>
          <w:lang w:val="en-US"/>
        </w:rPr>
        <w:t xml:space="preserve">EVT </w:t>
      </w:r>
      <w:r w:rsidRPr="00413C78">
        <w:rPr>
          <w:rFonts w:asciiTheme="minorHAnsi" w:hAnsiTheme="minorHAnsi" w:cstheme="minorHAnsi"/>
          <w:sz w:val="22"/>
          <w:szCs w:val="22"/>
          <w:lang w:val="en-US"/>
        </w:rPr>
        <w:t xml:space="preserve">the </w:t>
      </w:r>
      <w:r w:rsidR="00AF0ED0" w:rsidRPr="00413C78">
        <w:rPr>
          <w:rFonts w:asciiTheme="minorHAnsi" w:hAnsiTheme="minorHAnsi" w:cstheme="minorHAnsi"/>
          <w:sz w:val="22"/>
          <w:szCs w:val="22"/>
          <w:lang w:val="en-US"/>
        </w:rPr>
        <w:t xml:space="preserve">Company </w:t>
      </w:r>
      <w:r w:rsidRPr="00413C78">
        <w:rPr>
          <w:rFonts w:asciiTheme="minorHAnsi" w:hAnsiTheme="minorHAnsi" w:cstheme="minorHAnsi"/>
          <w:sz w:val="22"/>
          <w:szCs w:val="22"/>
          <w:lang w:val="en-US"/>
        </w:rPr>
        <w:t xml:space="preserve">shall transmit to the TSOs concerned the respective bank guarantees and enter into a GTA and as described in Section E.7 of the Project Proposal and the terms of the Joint </w:t>
      </w:r>
      <w:proofErr w:type="gramStart"/>
      <w:r w:rsidRPr="00413C78">
        <w:rPr>
          <w:rFonts w:asciiTheme="minorHAnsi" w:hAnsiTheme="minorHAnsi" w:cstheme="minorHAnsi"/>
          <w:sz w:val="22"/>
          <w:szCs w:val="22"/>
          <w:lang w:val="en-US"/>
        </w:rPr>
        <w:t>Notice;</w:t>
      </w:r>
      <w:proofErr w:type="gramEnd"/>
    </w:p>
    <w:p w14:paraId="6A490EDE" w14:textId="77777777" w:rsidR="00D849C6" w:rsidRPr="00413C78" w:rsidRDefault="00D849C6">
      <w:pPr>
        <w:pStyle w:val="BodyText2"/>
        <w:numPr>
          <w:ilvl w:val="0"/>
          <w:numId w:val="34"/>
        </w:numPr>
        <w:tabs>
          <w:tab w:val="left" w:pos="0"/>
        </w:tabs>
        <w:spacing w:after="240"/>
        <w:ind w:left="284" w:hanging="284"/>
        <w:rPr>
          <w:rFonts w:asciiTheme="minorHAnsi" w:hAnsiTheme="minorHAnsi" w:cstheme="minorHAnsi"/>
          <w:sz w:val="22"/>
          <w:szCs w:val="22"/>
          <w:lang w:val="en-US"/>
        </w:rPr>
      </w:pPr>
      <w:r w:rsidRPr="00413C78">
        <w:rPr>
          <w:rFonts w:asciiTheme="minorHAnsi" w:hAnsiTheme="minorHAnsi" w:cstheme="minorHAnsi"/>
          <w:sz w:val="22"/>
          <w:szCs w:val="22"/>
          <w:lang w:val="en-US"/>
        </w:rPr>
        <w:t xml:space="preserve">In case the Company is not allocated incremental capacity after a positive EVT, the </w:t>
      </w:r>
      <w:r w:rsidR="00481702" w:rsidRPr="00413C78">
        <w:rPr>
          <w:rFonts w:asciiTheme="minorHAnsi" w:hAnsiTheme="minorHAnsi" w:cstheme="minorHAnsi"/>
          <w:sz w:val="22"/>
          <w:szCs w:val="22"/>
          <w:lang w:val="en-US"/>
        </w:rPr>
        <w:t xml:space="preserve">Binding Bid </w:t>
      </w:r>
      <w:r w:rsidRPr="00413C78">
        <w:rPr>
          <w:rFonts w:asciiTheme="minorHAnsi" w:hAnsiTheme="minorHAnsi" w:cstheme="minorHAnsi"/>
          <w:sz w:val="22"/>
          <w:szCs w:val="22"/>
          <w:lang w:val="en-US"/>
        </w:rPr>
        <w:t xml:space="preserve">Guarantee shall be </w:t>
      </w:r>
      <w:proofErr w:type="gramStart"/>
      <w:r w:rsidRPr="00413C78">
        <w:rPr>
          <w:rFonts w:asciiTheme="minorHAnsi" w:hAnsiTheme="minorHAnsi" w:cstheme="minorHAnsi"/>
          <w:sz w:val="22"/>
          <w:szCs w:val="22"/>
          <w:lang w:val="en-US"/>
        </w:rPr>
        <w:t>returned;</w:t>
      </w:r>
      <w:proofErr w:type="gramEnd"/>
    </w:p>
    <w:p w14:paraId="0FCC4580" w14:textId="6BC9B273" w:rsidR="00D849C6" w:rsidRPr="00413C78" w:rsidRDefault="00D849C6">
      <w:pPr>
        <w:pStyle w:val="BodyText2"/>
        <w:numPr>
          <w:ilvl w:val="0"/>
          <w:numId w:val="34"/>
        </w:numPr>
        <w:tabs>
          <w:tab w:val="left" w:pos="0"/>
        </w:tabs>
        <w:spacing w:after="240"/>
        <w:ind w:left="284" w:hanging="284"/>
        <w:rPr>
          <w:rFonts w:asciiTheme="minorHAnsi" w:hAnsiTheme="minorHAnsi" w:cstheme="minorHAnsi"/>
          <w:sz w:val="22"/>
          <w:szCs w:val="22"/>
          <w:lang w:val="en-US"/>
        </w:rPr>
      </w:pPr>
      <w:r w:rsidRPr="00413C78">
        <w:rPr>
          <w:rFonts w:asciiTheme="minorHAnsi" w:hAnsiTheme="minorHAnsi" w:cstheme="minorHAnsi"/>
          <w:sz w:val="22"/>
          <w:szCs w:val="22"/>
          <w:lang w:val="en-US"/>
        </w:rPr>
        <w:t xml:space="preserve">In case </w:t>
      </w:r>
      <w:r w:rsidR="00513731" w:rsidRPr="00413C78">
        <w:rPr>
          <w:rFonts w:asciiTheme="minorHAnsi" w:hAnsiTheme="minorHAnsi" w:cstheme="minorHAnsi"/>
          <w:sz w:val="22"/>
          <w:szCs w:val="22"/>
          <w:lang w:val="en-US"/>
        </w:rPr>
        <w:t>the Company</w:t>
      </w:r>
      <w:r w:rsidRPr="00413C78">
        <w:rPr>
          <w:rFonts w:asciiTheme="minorHAnsi" w:hAnsiTheme="minorHAnsi" w:cstheme="minorHAnsi"/>
          <w:sz w:val="22"/>
          <w:szCs w:val="22"/>
          <w:lang w:val="en-US"/>
        </w:rPr>
        <w:t xml:space="preserve"> is allocated capacity but the GTA between DESFA and the </w:t>
      </w:r>
      <w:r w:rsidR="00513731" w:rsidRPr="00413C78">
        <w:rPr>
          <w:rFonts w:asciiTheme="minorHAnsi" w:hAnsiTheme="minorHAnsi" w:cstheme="minorHAnsi"/>
          <w:sz w:val="22"/>
          <w:szCs w:val="22"/>
          <w:lang w:val="en-US"/>
        </w:rPr>
        <w:t>Company</w:t>
      </w:r>
      <w:r w:rsidRPr="00413C78">
        <w:rPr>
          <w:rFonts w:asciiTheme="minorHAnsi" w:hAnsiTheme="minorHAnsi" w:cstheme="minorHAnsi"/>
          <w:sz w:val="22"/>
          <w:szCs w:val="22"/>
          <w:lang w:val="en-US"/>
        </w:rPr>
        <w:t xml:space="preserve"> does not, for any reason, become fully effective, DESFA will allocate the actual costs incurred for the Incremental Capacity Process up to that point to each Participant, including the Company, to which capacity has been allocated, on a pro rata basis calculated on the basis of the amount of their</w:t>
      </w:r>
      <w:r w:rsidR="00E4089A" w:rsidRPr="00413C78">
        <w:rPr>
          <w:rFonts w:asciiTheme="minorHAnsi" w:hAnsiTheme="minorHAnsi" w:cstheme="minorHAnsi"/>
          <w:sz w:val="22"/>
          <w:szCs w:val="22"/>
          <w:lang w:val="en-US"/>
        </w:rPr>
        <w:t xml:space="preserve"> </w:t>
      </w:r>
      <w:r w:rsidR="0092585C">
        <w:rPr>
          <w:rFonts w:asciiTheme="minorHAnsi" w:hAnsiTheme="minorHAnsi" w:cstheme="minorHAnsi"/>
          <w:sz w:val="22"/>
          <w:szCs w:val="22"/>
          <w:lang w:val="en-US"/>
        </w:rPr>
        <w:t xml:space="preserve">GTA </w:t>
      </w:r>
      <w:r w:rsidR="00A7035F">
        <w:rPr>
          <w:rFonts w:asciiTheme="minorHAnsi" w:hAnsiTheme="minorHAnsi" w:cstheme="minorHAnsi"/>
          <w:sz w:val="22"/>
          <w:szCs w:val="22"/>
          <w:lang w:val="en-US"/>
        </w:rPr>
        <w:t>G</w:t>
      </w:r>
      <w:r w:rsidRPr="00413C78">
        <w:rPr>
          <w:rFonts w:asciiTheme="minorHAnsi" w:hAnsiTheme="minorHAnsi" w:cstheme="minorHAnsi"/>
          <w:sz w:val="22"/>
          <w:szCs w:val="22"/>
          <w:lang w:val="en-US"/>
        </w:rPr>
        <w:t xml:space="preserve">uarantee as a proportion of the aggregate value of bank guarantees received by DESFA. </w:t>
      </w:r>
      <w:r w:rsidR="00E4089A" w:rsidRPr="00413C78">
        <w:rPr>
          <w:rFonts w:asciiTheme="minorHAnsi" w:hAnsiTheme="minorHAnsi" w:cstheme="minorHAnsi"/>
          <w:sz w:val="22"/>
          <w:szCs w:val="22"/>
          <w:lang w:val="en-US"/>
        </w:rPr>
        <w:t xml:space="preserve">The </w:t>
      </w:r>
      <w:r w:rsidRPr="00413C78">
        <w:rPr>
          <w:rFonts w:asciiTheme="minorHAnsi" w:hAnsiTheme="minorHAnsi" w:cstheme="minorHAnsi"/>
          <w:sz w:val="22"/>
          <w:szCs w:val="22"/>
          <w:lang w:val="en-US"/>
        </w:rPr>
        <w:t xml:space="preserve">pro rata cost </w:t>
      </w:r>
      <w:r w:rsidR="00E4089A" w:rsidRPr="00413C78">
        <w:rPr>
          <w:rFonts w:asciiTheme="minorHAnsi" w:hAnsiTheme="minorHAnsi" w:cstheme="minorHAnsi"/>
          <w:sz w:val="22"/>
          <w:szCs w:val="22"/>
          <w:lang w:val="en-US"/>
        </w:rPr>
        <w:t xml:space="preserve">attributable to the Company </w:t>
      </w:r>
      <w:r w:rsidR="00BB7901" w:rsidRPr="00413C78">
        <w:rPr>
          <w:rFonts w:asciiTheme="minorHAnsi" w:hAnsiTheme="minorHAnsi" w:cstheme="minorHAnsi"/>
          <w:sz w:val="22"/>
          <w:szCs w:val="22"/>
          <w:lang w:val="en-US"/>
        </w:rPr>
        <w:t>sha</w:t>
      </w:r>
      <w:r w:rsidRPr="00413C78">
        <w:rPr>
          <w:rFonts w:asciiTheme="minorHAnsi" w:hAnsiTheme="minorHAnsi" w:cstheme="minorHAnsi"/>
          <w:sz w:val="22"/>
          <w:szCs w:val="22"/>
          <w:lang w:val="en-US"/>
        </w:rPr>
        <w:t>ll be pa</w:t>
      </w:r>
      <w:r w:rsidR="00E4089A" w:rsidRPr="00413C78">
        <w:rPr>
          <w:rFonts w:asciiTheme="minorHAnsi" w:hAnsiTheme="minorHAnsi" w:cstheme="minorHAnsi"/>
          <w:sz w:val="22"/>
          <w:szCs w:val="22"/>
          <w:lang w:val="en-US"/>
        </w:rPr>
        <w:t>id</w:t>
      </w:r>
      <w:r w:rsidRPr="00413C78">
        <w:rPr>
          <w:rFonts w:asciiTheme="minorHAnsi" w:hAnsiTheme="minorHAnsi" w:cstheme="minorHAnsi"/>
          <w:sz w:val="22"/>
          <w:szCs w:val="22"/>
          <w:lang w:val="en-US"/>
        </w:rPr>
        <w:t xml:space="preserve"> by the </w:t>
      </w:r>
      <w:r w:rsidR="007D1232" w:rsidRPr="00413C78">
        <w:rPr>
          <w:rFonts w:asciiTheme="minorHAnsi" w:hAnsiTheme="minorHAnsi" w:cstheme="minorHAnsi"/>
          <w:sz w:val="22"/>
          <w:szCs w:val="22"/>
          <w:lang w:val="en-US"/>
        </w:rPr>
        <w:t>Company</w:t>
      </w:r>
      <w:r w:rsidRPr="00413C78">
        <w:rPr>
          <w:rFonts w:asciiTheme="minorHAnsi" w:hAnsiTheme="minorHAnsi" w:cstheme="minorHAnsi"/>
          <w:sz w:val="22"/>
          <w:szCs w:val="22"/>
          <w:lang w:val="en-US"/>
        </w:rPr>
        <w:t xml:space="preserve"> and, if not paid, may be recovered by DESFA under the relevant bank guarantee(s</w:t>
      </w:r>
      <w:proofErr w:type="gramStart"/>
      <w:r w:rsidRPr="00413C78">
        <w:rPr>
          <w:rFonts w:asciiTheme="minorHAnsi" w:hAnsiTheme="minorHAnsi" w:cstheme="minorHAnsi"/>
          <w:sz w:val="22"/>
          <w:szCs w:val="22"/>
          <w:lang w:val="en-US"/>
        </w:rPr>
        <w:t>);</w:t>
      </w:r>
      <w:proofErr w:type="gramEnd"/>
    </w:p>
    <w:p w14:paraId="2A92F3BA" w14:textId="77777777" w:rsidR="00D849C6" w:rsidRPr="00413C78" w:rsidRDefault="00D849C6">
      <w:pPr>
        <w:pStyle w:val="BodyText2"/>
        <w:numPr>
          <w:ilvl w:val="0"/>
          <w:numId w:val="34"/>
        </w:numPr>
        <w:tabs>
          <w:tab w:val="left" w:pos="0"/>
        </w:tabs>
        <w:spacing w:after="240"/>
        <w:ind w:left="284" w:hanging="284"/>
        <w:rPr>
          <w:rFonts w:asciiTheme="minorHAnsi" w:hAnsiTheme="minorHAnsi" w:cstheme="minorHAnsi"/>
          <w:sz w:val="22"/>
          <w:szCs w:val="22"/>
          <w:lang w:val="en-US"/>
        </w:rPr>
      </w:pPr>
      <w:r w:rsidRPr="00413C78">
        <w:rPr>
          <w:rFonts w:asciiTheme="minorHAnsi" w:hAnsiTheme="minorHAnsi" w:cstheme="minorHAnsi"/>
          <w:sz w:val="22"/>
          <w:szCs w:val="22"/>
          <w:lang w:val="en-US"/>
        </w:rPr>
        <w:lastRenderedPageBreak/>
        <w:t xml:space="preserve">Binding Bid by the Company will be accepted only within the limits of the guarantees which will have been presented to DESFA according to the provisions of the Project </w:t>
      </w:r>
      <w:proofErr w:type="gramStart"/>
      <w:r w:rsidRPr="00413C78">
        <w:rPr>
          <w:rFonts w:asciiTheme="minorHAnsi" w:hAnsiTheme="minorHAnsi" w:cstheme="minorHAnsi"/>
          <w:sz w:val="22"/>
          <w:szCs w:val="22"/>
          <w:lang w:val="en-US"/>
        </w:rPr>
        <w:t>Proposal;</w:t>
      </w:r>
      <w:proofErr w:type="gramEnd"/>
    </w:p>
    <w:p w14:paraId="629CF132" w14:textId="77777777" w:rsidR="00D849C6" w:rsidRPr="00413C78" w:rsidRDefault="00D849C6">
      <w:pPr>
        <w:pStyle w:val="BodyText2"/>
        <w:numPr>
          <w:ilvl w:val="0"/>
          <w:numId w:val="34"/>
        </w:numPr>
        <w:tabs>
          <w:tab w:val="left" w:pos="0"/>
        </w:tabs>
        <w:spacing w:after="240"/>
        <w:ind w:left="284" w:hanging="284"/>
        <w:rPr>
          <w:rFonts w:asciiTheme="minorHAnsi" w:hAnsiTheme="minorHAnsi" w:cstheme="minorHAnsi"/>
          <w:sz w:val="22"/>
          <w:szCs w:val="22"/>
          <w:lang w:val="en-US"/>
        </w:rPr>
      </w:pPr>
      <w:r w:rsidRPr="00413C78">
        <w:rPr>
          <w:rFonts w:asciiTheme="minorHAnsi" w:hAnsiTheme="minorHAnsi" w:cstheme="minorHAnsi"/>
          <w:sz w:val="22"/>
          <w:szCs w:val="22"/>
          <w:lang w:val="en-US"/>
        </w:rPr>
        <w:t xml:space="preserve">By submitting the Binding Bid Form to DESFA, the Company agrees to the process outlined in the Joint Notice, including the process regarding the overall Project Proposal and the potential liability of the Company for a pro rata share of the costs incurred by the respective TSOs for the Incremental Capacity Process up to that </w:t>
      </w:r>
      <w:proofErr w:type="gramStart"/>
      <w:r w:rsidRPr="00413C78">
        <w:rPr>
          <w:rFonts w:asciiTheme="minorHAnsi" w:hAnsiTheme="minorHAnsi" w:cstheme="minorHAnsi"/>
          <w:sz w:val="22"/>
          <w:szCs w:val="22"/>
          <w:lang w:val="en-US"/>
        </w:rPr>
        <w:t>point;</w:t>
      </w:r>
      <w:proofErr w:type="gramEnd"/>
    </w:p>
    <w:p w14:paraId="39DE0812" w14:textId="77777777" w:rsidR="00D849C6" w:rsidRPr="00413C78" w:rsidRDefault="00D849C6">
      <w:pPr>
        <w:pStyle w:val="BodyText2"/>
        <w:numPr>
          <w:ilvl w:val="0"/>
          <w:numId w:val="34"/>
        </w:numPr>
        <w:tabs>
          <w:tab w:val="left" w:pos="0"/>
        </w:tabs>
        <w:spacing w:after="240"/>
        <w:ind w:left="284" w:hanging="284"/>
        <w:rPr>
          <w:rFonts w:asciiTheme="minorHAnsi" w:hAnsiTheme="minorHAnsi" w:cstheme="minorHAnsi"/>
          <w:sz w:val="22"/>
          <w:szCs w:val="22"/>
          <w:lang w:val="en-US"/>
        </w:rPr>
      </w:pPr>
      <w:r w:rsidRPr="00413C78">
        <w:rPr>
          <w:rFonts w:asciiTheme="minorHAnsi" w:hAnsiTheme="minorHAnsi" w:cstheme="minorHAnsi"/>
          <w:sz w:val="22"/>
          <w:szCs w:val="22"/>
          <w:lang w:val="en-US"/>
        </w:rPr>
        <w:t xml:space="preserve">By submitting this Binding Bid Form to DESFA, the Company accepts that said request will constitute an irrevocable commitment to enter a GTA with DESFA, subject to the successful outcome of the </w:t>
      </w:r>
      <w:proofErr w:type="gramStart"/>
      <w:r w:rsidRPr="00413C78">
        <w:rPr>
          <w:rFonts w:asciiTheme="minorHAnsi" w:hAnsiTheme="minorHAnsi" w:cstheme="minorHAnsi"/>
          <w:sz w:val="22"/>
          <w:szCs w:val="22"/>
          <w:lang w:val="en-US"/>
        </w:rPr>
        <w:t>EVT;</w:t>
      </w:r>
      <w:proofErr w:type="gramEnd"/>
    </w:p>
    <w:p w14:paraId="15E86C83" w14:textId="77777777" w:rsidR="00D849C6" w:rsidRPr="00413C78" w:rsidRDefault="00D849C6">
      <w:pPr>
        <w:pStyle w:val="BodyText2"/>
        <w:numPr>
          <w:ilvl w:val="0"/>
          <w:numId w:val="34"/>
        </w:numPr>
        <w:tabs>
          <w:tab w:val="left" w:pos="0"/>
        </w:tabs>
        <w:spacing w:after="240"/>
        <w:ind w:left="284" w:hanging="284"/>
        <w:rPr>
          <w:rFonts w:asciiTheme="minorHAnsi" w:hAnsiTheme="minorHAnsi" w:cstheme="minorHAnsi"/>
          <w:sz w:val="22"/>
          <w:szCs w:val="22"/>
          <w:lang w:val="en-US"/>
        </w:rPr>
      </w:pPr>
      <w:r w:rsidRPr="00413C78">
        <w:rPr>
          <w:rFonts w:asciiTheme="minorHAnsi" w:hAnsiTheme="minorHAnsi" w:cstheme="minorHAnsi"/>
          <w:sz w:val="22"/>
          <w:szCs w:val="22"/>
          <w:lang w:val="en-US"/>
        </w:rPr>
        <w:t>All the information present in this Binding Bi</w:t>
      </w:r>
      <w:r w:rsidR="00E70BF9" w:rsidRPr="00413C78">
        <w:rPr>
          <w:rFonts w:asciiTheme="minorHAnsi" w:hAnsiTheme="minorHAnsi" w:cstheme="minorHAnsi"/>
          <w:sz w:val="22"/>
          <w:szCs w:val="22"/>
          <w:lang w:val="en-US"/>
        </w:rPr>
        <w:t>d</w:t>
      </w:r>
      <w:r w:rsidRPr="00413C78">
        <w:rPr>
          <w:rFonts w:asciiTheme="minorHAnsi" w:hAnsiTheme="minorHAnsi" w:cstheme="minorHAnsi"/>
          <w:sz w:val="22"/>
          <w:szCs w:val="22"/>
          <w:lang w:val="en-US"/>
        </w:rPr>
        <w:t xml:space="preserve">ding Form can be shared with the concerned TSOs for the assessment of the demand for incremental capacity at their joint Interconnection </w:t>
      </w:r>
      <w:proofErr w:type="gramStart"/>
      <w:r w:rsidRPr="00413C78">
        <w:rPr>
          <w:rFonts w:asciiTheme="minorHAnsi" w:hAnsiTheme="minorHAnsi" w:cstheme="minorHAnsi"/>
          <w:sz w:val="22"/>
          <w:szCs w:val="22"/>
          <w:lang w:val="en-US"/>
        </w:rPr>
        <w:t>Points;</w:t>
      </w:r>
      <w:proofErr w:type="gramEnd"/>
    </w:p>
    <w:p w14:paraId="1097AC7E" w14:textId="77777777" w:rsidR="00D849C6" w:rsidRPr="00413C78" w:rsidRDefault="00D849C6">
      <w:pPr>
        <w:pStyle w:val="BodyText2"/>
        <w:numPr>
          <w:ilvl w:val="0"/>
          <w:numId w:val="34"/>
        </w:numPr>
        <w:tabs>
          <w:tab w:val="left" w:pos="0"/>
        </w:tabs>
        <w:spacing w:after="240"/>
        <w:ind w:left="284" w:hanging="284"/>
        <w:rPr>
          <w:rFonts w:asciiTheme="minorHAnsi" w:hAnsiTheme="minorHAnsi" w:cstheme="minorHAnsi"/>
          <w:sz w:val="22"/>
          <w:szCs w:val="22"/>
          <w:lang w:val="en-US"/>
        </w:rPr>
      </w:pPr>
      <w:r w:rsidRPr="00413C78">
        <w:rPr>
          <w:rFonts w:asciiTheme="minorHAnsi" w:hAnsiTheme="minorHAnsi" w:cstheme="minorHAnsi"/>
          <w:sz w:val="22"/>
          <w:szCs w:val="22"/>
          <w:lang w:val="en-US"/>
        </w:rPr>
        <w:t xml:space="preserve">All the communication about this procedure must be sent to the address mentioned here above. All submitted data and information, including the information herein, are true and </w:t>
      </w:r>
      <w:proofErr w:type="gramStart"/>
      <w:r w:rsidRPr="00413C78">
        <w:rPr>
          <w:rFonts w:asciiTheme="minorHAnsi" w:hAnsiTheme="minorHAnsi" w:cstheme="minorHAnsi"/>
          <w:sz w:val="22"/>
          <w:szCs w:val="22"/>
          <w:lang w:val="en-US"/>
        </w:rPr>
        <w:t>genuine;</w:t>
      </w:r>
      <w:proofErr w:type="gramEnd"/>
    </w:p>
    <w:p w14:paraId="25C11B84" w14:textId="77777777" w:rsidR="00D849C6" w:rsidRPr="00413C78" w:rsidRDefault="00D849C6">
      <w:pPr>
        <w:pStyle w:val="BodyText2"/>
        <w:numPr>
          <w:ilvl w:val="0"/>
          <w:numId w:val="34"/>
        </w:numPr>
        <w:tabs>
          <w:tab w:val="left" w:pos="0"/>
        </w:tabs>
        <w:spacing w:after="240"/>
        <w:ind w:left="284" w:hanging="284"/>
        <w:rPr>
          <w:rFonts w:asciiTheme="minorHAnsi" w:hAnsiTheme="minorHAnsi" w:cstheme="minorHAnsi"/>
          <w:sz w:val="22"/>
          <w:szCs w:val="22"/>
          <w:lang w:val="en-US"/>
        </w:rPr>
      </w:pPr>
      <w:r w:rsidRPr="00413C78">
        <w:rPr>
          <w:rFonts w:asciiTheme="minorHAnsi" w:hAnsiTheme="minorHAnsi" w:cstheme="minorHAnsi"/>
          <w:sz w:val="22"/>
          <w:szCs w:val="22"/>
          <w:lang w:val="en-US"/>
        </w:rPr>
        <w:t xml:space="preserve">Any statement of possession of requirements (requests, commitments, </w:t>
      </w:r>
      <w:proofErr w:type="gramStart"/>
      <w:r w:rsidRPr="00413C78">
        <w:rPr>
          <w:rFonts w:asciiTheme="minorHAnsi" w:hAnsiTheme="minorHAnsi" w:cstheme="minorHAnsi"/>
          <w:sz w:val="22"/>
          <w:szCs w:val="22"/>
          <w:lang w:val="en-US"/>
        </w:rPr>
        <w:t>declarations</w:t>
      </w:r>
      <w:proofErr w:type="gramEnd"/>
      <w:r w:rsidRPr="00413C78">
        <w:rPr>
          <w:rFonts w:asciiTheme="minorHAnsi" w:hAnsiTheme="minorHAnsi" w:cstheme="minorHAnsi"/>
          <w:sz w:val="22"/>
          <w:szCs w:val="22"/>
          <w:lang w:val="en-US"/>
        </w:rPr>
        <w:t xml:space="preserve"> or acceptances), as well as any request/communication or expression of will, made by the Company, including via the relevant functionality of DESFA’s website or a potentially jointly identified capacity booking platform, constitutes a formal obligation and commitment on the part of the Company, which accepts – even in respect of third parties – any and all liability arising from any breaches/errors or omissions.</w:t>
      </w:r>
    </w:p>
    <w:p w14:paraId="7C496433" w14:textId="77777777" w:rsidR="00D849C6" w:rsidRPr="00413C78" w:rsidRDefault="00D849C6" w:rsidP="00D849C6">
      <w:pPr>
        <w:pStyle w:val="BodyText2"/>
        <w:tabs>
          <w:tab w:val="left" w:pos="0"/>
        </w:tabs>
        <w:spacing w:after="240"/>
        <w:ind w:left="284"/>
        <w:jc w:val="center"/>
        <w:rPr>
          <w:rFonts w:asciiTheme="minorHAnsi" w:hAnsiTheme="minorHAnsi" w:cstheme="minorHAnsi"/>
          <w:sz w:val="22"/>
          <w:szCs w:val="22"/>
          <w:lang w:val="en-US"/>
        </w:rPr>
      </w:pPr>
      <w:r w:rsidRPr="00413C78">
        <w:rPr>
          <w:rFonts w:asciiTheme="minorHAnsi" w:hAnsiTheme="minorHAnsi" w:cstheme="minorHAnsi"/>
          <w:sz w:val="22"/>
          <w:szCs w:val="22"/>
          <w:lang w:val="en-US"/>
        </w:rPr>
        <w:t>And hereby submits</w:t>
      </w:r>
    </w:p>
    <w:p w14:paraId="26960326" w14:textId="3C1B0178" w:rsidR="00D849C6" w:rsidRPr="00413C78" w:rsidRDefault="00D849C6" w:rsidP="00D849C6">
      <w:pPr>
        <w:pStyle w:val="BodyText2"/>
        <w:tabs>
          <w:tab w:val="left" w:pos="0"/>
        </w:tabs>
        <w:spacing w:after="240" w:line="276" w:lineRule="auto"/>
        <w:ind w:left="284"/>
        <w:rPr>
          <w:rFonts w:asciiTheme="minorHAnsi" w:hAnsiTheme="minorHAnsi" w:cstheme="minorHAnsi"/>
          <w:sz w:val="22"/>
          <w:szCs w:val="22"/>
          <w:lang w:val="en-US"/>
        </w:rPr>
      </w:pPr>
      <w:r w:rsidRPr="00413C78">
        <w:rPr>
          <w:rFonts w:asciiTheme="minorHAnsi" w:hAnsiTheme="minorHAnsi" w:cstheme="minorHAnsi"/>
          <w:sz w:val="22"/>
          <w:szCs w:val="22"/>
          <w:lang w:val="en-US"/>
        </w:rPr>
        <w:t xml:space="preserve">The following Binding Bid for the booking of incremental capacity </w:t>
      </w:r>
      <w:r w:rsidR="003720B8" w:rsidRPr="00413C78">
        <w:rPr>
          <w:rFonts w:asciiTheme="minorHAnsi" w:hAnsiTheme="minorHAnsi" w:cstheme="minorHAnsi"/>
          <w:sz w:val="22"/>
          <w:szCs w:val="22"/>
          <w:lang w:val="en-US"/>
        </w:rPr>
        <w:t>a</w:t>
      </w:r>
      <w:r w:rsidRPr="00413C78">
        <w:rPr>
          <w:rFonts w:asciiTheme="minorHAnsi" w:hAnsiTheme="minorHAnsi" w:cstheme="minorHAnsi"/>
          <w:sz w:val="22"/>
          <w:szCs w:val="22"/>
          <w:lang w:val="en-US"/>
        </w:rPr>
        <w:t xml:space="preserve">t the DESFA side of the </w:t>
      </w:r>
      <w:proofErr w:type="spellStart"/>
      <w:r w:rsidRPr="00413C78">
        <w:rPr>
          <w:rFonts w:asciiTheme="minorHAnsi" w:hAnsiTheme="minorHAnsi" w:cstheme="minorHAnsi"/>
          <w:sz w:val="22"/>
          <w:szCs w:val="22"/>
          <w:lang w:val="en-US"/>
        </w:rPr>
        <w:t>Nea</w:t>
      </w:r>
      <w:proofErr w:type="spellEnd"/>
      <w:r w:rsidRPr="00413C78">
        <w:rPr>
          <w:rFonts w:asciiTheme="minorHAnsi" w:hAnsiTheme="minorHAnsi" w:cstheme="minorHAnsi"/>
          <w:sz w:val="22"/>
          <w:szCs w:val="22"/>
          <w:lang w:val="en-US"/>
        </w:rPr>
        <w:t xml:space="preserve"> Mesimvria Interconnection Point in the context of the 20</w:t>
      </w:r>
      <w:r w:rsidR="0080413C">
        <w:rPr>
          <w:rFonts w:asciiTheme="minorHAnsi" w:hAnsiTheme="minorHAnsi" w:cstheme="minorHAnsi"/>
          <w:sz w:val="22"/>
          <w:szCs w:val="22"/>
          <w:lang w:val="en-US"/>
        </w:rPr>
        <w:t>21</w:t>
      </w:r>
      <w:r w:rsidRPr="00413C78">
        <w:rPr>
          <w:rFonts w:asciiTheme="minorHAnsi" w:hAnsiTheme="minorHAnsi" w:cstheme="minorHAnsi"/>
          <w:sz w:val="22"/>
          <w:szCs w:val="22"/>
          <w:lang w:val="en-US"/>
        </w:rPr>
        <w:t xml:space="preserve"> Incremental Capacity Process</w:t>
      </w:r>
      <w:r w:rsidR="004D433B">
        <w:rPr>
          <w:rFonts w:asciiTheme="minorHAnsi" w:hAnsiTheme="minorHAnsi" w:cstheme="minorHAnsi"/>
          <w:sz w:val="22"/>
          <w:szCs w:val="22"/>
          <w:lang w:val="en-US"/>
        </w:rPr>
        <w:t>:</w:t>
      </w:r>
    </w:p>
    <w:p w14:paraId="64037DC7" w14:textId="50AB8754" w:rsidR="00E70BF9" w:rsidRDefault="00E70BF9" w:rsidP="00D849C6">
      <w:pPr>
        <w:pStyle w:val="BodyText2"/>
        <w:tabs>
          <w:tab w:val="left" w:pos="0"/>
        </w:tabs>
        <w:spacing w:after="240" w:line="276" w:lineRule="auto"/>
        <w:ind w:left="284"/>
        <w:rPr>
          <w:rFonts w:asciiTheme="minorHAnsi" w:hAnsiTheme="minorHAnsi" w:cstheme="minorHAnsi"/>
          <w:lang w:val="en-US"/>
        </w:rPr>
      </w:pPr>
    </w:p>
    <w:p w14:paraId="5F737150" w14:textId="77777777" w:rsidR="00715F64" w:rsidRPr="001D27C6" w:rsidRDefault="00715F64" w:rsidP="00D849C6">
      <w:pPr>
        <w:pStyle w:val="BodyText2"/>
        <w:tabs>
          <w:tab w:val="left" w:pos="0"/>
        </w:tabs>
        <w:spacing w:after="240" w:line="276" w:lineRule="auto"/>
        <w:ind w:left="284"/>
        <w:rPr>
          <w:rFonts w:asciiTheme="minorHAnsi" w:hAnsiTheme="minorHAnsi" w:cstheme="minorHAnsi"/>
          <w:lang w:val="en-US"/>
        </w:rPr>
      </w:pPr>
    </w:p>
    <w:p w14:paraId="74FD253D" w14:textId="77777777" w:rsidR="00D849C6" w:rsidRPr="001D27C6" w:rsidRDefault="00D849C6" w:rsidP="00B720A1">
      <w:pPr>
        <w:autoSpaceDE w:val="0"/>
        <w:autoSpaceDN w:val="0"/>
        <w:adjustRightInd w:val="0"/>
        <w:jc w:val="center"/>
        <w:rPr>
          <w:rFonts w:cstheme="minorHAnsi"/>
          <w:b/>
          <w:szCs w:val="24"/>
        </w:rPr>
      </w:pPr>
      <w:r w:rsidRPr="001D27C6">
        <w:rPr>
          <w:rFonts w:cstheme="minorHAnsi"/>
          <w:b/>
          <w:bCs/>
          <w:szCs w:val="24"/>
        </w:rPr>
        <w:t>BINDING BID</w:t>
      </w:r>
    </w:p>
    <w:tbl>
      <w:tblPr>
        <w:tblW w:w="8788" w:type="dxa"/>
        <w:tblInd w:w="279" w:type="dxa"/>
        <w:tblCellMar>
          <w:left w:w="70" w:type="dxa"/>
          <w:right w:w="70" w:type="dxa"/>
        </w:tblCellMar>
        <w:tblLook w:val="04A0" w:firstRow="1" w:lastRow="0" w:firstColumn="1" w:lastColumn="0" w:noHBand="0" w:noVBand="1"/>
      </w:tblPr>
      <w:tblGrid>
        <w:gridCol w:w="4476"/>
        <w:gridCol w:w="4312"/>
      </w:tblGrid>
      <w:tr w:rsidR="00D849C6" w:rsidRPr="001D27C6" w14:paraId="1FC170BB" w14:textId="77777777" w:rsidTr="00D849C6">
        <w:trPr>
          <w:trHeight w:val="402"/>
        </w:trPr>
        <w:tc>
          <w:tcPr>
            <w:tcW w:w="4476" w:type="dxa"/>
            <w:tcBorders>
              <w:top w:val="single" w:sz="4" w:space="0" w:color="808080"/>
              <w:left w:val="single" w:sz="4" w:space="0" w:color="808080"/>
              <w:bottom w:val="single" w:sz="4" w:space="0" w:color="808080"/>
              <w:right w:val="single" w:sz="4" w:space="0" w:color="808080"/>
            </w:tcBorders>
            <w:shd w:val="clear" w:color="000000" w:fill="1F497D"/>
            <w:vAlign w:val="center"/>
            <w:hideMark/>
          </w:tcPr>
          <w:p w14:paraId="2E8A8F38" w14:textId="77777777" w:rsidR="00D849C6" w:rsidRPr="001D27C6" w:rsidRDefault="00D849C6" w:rsidP="00D849C6">
            <w:pPr>
              <w:spacing w:after="0" w:line="240" w:lineRule="auto"/>
              <w:rPr>
                <w:rFonts w:eastAsia="Times New Roman" w:cstheme="minorHAnsi"/>
                <w:b/>
                <w:bCs/>
                <w:color w:val="FFFFFF"/>
                <w:sz w:val="20"/>
                <w:szCs w:val="20"/>
                <w:lang w:eastAsia="it-IT"/>
              </w:rPr>
            </w:pPr>
            <w:r w:rsidRPr="001D27C6">
              <w:rPr>
                <w:rFonts w:eastAsia="Times New Roman" w:cstheme="minorHAnsi"/>
                <w:b/>
                <w:bCs/>
                <w:color w:val="FFFFFF"/>
                <w:sz w:val="20"/>
                <w:szCs w:val="20"/>
                <w:lang w:eastAsia="it-IT"/>
              </w:rPr>
              <w:t>COMPANY</w:t>
            </w:r>
          </w:p>
        </w:tc>
        <w:tc>
          <w:tcPr>
            <w:tcW w:w="4312" w:type="dxa"/>
            <w:tcBorders>
              <w:top w:val="single" w:sz="4" w:space="0" w:color="808080"/>
              <w:left w:val="nil"/>
              <w:bottom w:val="single" w:sz="4" w:space="0" w:color="808080"/>
              <w:right w:val="single" w:sz="4" w:space="0" w:color="808080"/>
            </w:tcBorders>
            <w:shd w:val="clear" w:color="000000" w:fill="1F497D"/>
            <w:vAlign w:val="center"/>
            <w:hideMark/>
          </w:tcPr>
          <w:p w14:paraId="14A52D24" w14:textId="77777777" w:rsidR="00D849C6" w:rsidRPr="001D27C6" w:rsidRDefault="00D849C6" w:rsidP="00D849C6">
            <w:pPr>
              <w:spacing w:after="0" w:line="240" w:lineRule="auto"/>
              <w:rPr>
                <w:rFonts w:eastAsia="Times New Roman" w:cstheme="minorHAnsi"/>
                <w:b/>
                <w:bCs/>
                <w:color w:val="FFFFFF"/>
                <w:sz w:val="20"/>
                <w:szCs w:val="20"/>
                <w:lang w:eastAsia="it-IT"/>
              </w:rPr>
            </w:pPr>
            <w:r w:rsidRPr="001D27C6">
              <w:rPr>
                <w:rFonts w:eastAsia="Times New Roman" w:cstheme="minorHAnsi"/>
                <w:b/>
                <w:bCs/>
                <w:color w:val="FFFFFF"/>
                <w:sz w:val="20"/>
                <w:szCs w:val="20"/>
                <w:lang w:eastAsia="it-IT"/>
              </w:rPr>
              <w:t>CONTACT PERSON</w:t>
            </w:r>
          </w:p>
        </w:tc>
      </w:tr>
      <w:tr w:rsidR="00D849C6" w:rsidRPr="001D27C6" w14:paraId="316DF125" w14:textId="77777777" w:rsidTr="00D849C6">
        <w:trPr>
          <w:trHeight w:val="402"/>
        </w:trPr>
        <w:tc>
          <w:tcPr>
            <w:tcW w:w="4476" w:type="dxa"/>
            <w:tcBorders>
              <w:top w:val="nil"/>
              <w:left w:val="single" w:sz="4" w:space="0" w:color="808080"/>
              <w:bottom w:val="single" w:sz="4" w:space="0" w:color="808080"/>
              <w:right w:val="single" w:sz="4" w:space="0" w:color="808080"/>
            </w:tcBorders>
            <w:shd w:val="clear" w:color="auto" w:fill="auto"/>
            <w:vAlign w:val="center"/>
            <w:hideMark/>
          </w:tcPr>
          <w:p w14:paraId="5B0E87AE" w14:textId="77777777" w:rsidR="00D849C6" w:rsidRPr="001D27C6" w:rsidRDefault="00D849C6" w:rsidP="00D849C6">
            <w:pPr>
              <w:spacing w:after="0" w:line="240" w:lineRule="auto"/>
              <w:rPr>
                <w:rFonts w:eastAsia="Times New Roman" w:cstheme="minorHAnsi"/>
                <w:color w:val="000000"/>
                <w:sz w:val="20"/>
                <w:szCs w:val="20"/>
                <w:lang w:eastAsia="it-IT"/>
              </w:rPr>
            </w:pPr>
            <w:r w:rsidRPr="001D27C6">
              <w:rPr>
                <w:rFonts w:eastAsia="Times New Roman" w:cstheme="minorHAnsi"/>
                <w:color w:val="000000"/>
                <w:sz w:val="20"/>
                <w:szCs w:val="20"/>
                <w:lang w:eastAsia="it-IT"/>
              </w:rPr>
              <w:t>COMPANY NAME:</w:t>
            </w:r>
          </w:p>
        </w:tc>
        <w:tc>
          <w:tcPr>
            <w:tcW w:w="4312" w:type="dxa"/>
            <w:tcBorders>
              <w:top w:val="nil"/>
              <w:left w:val="nil"/>
              <w:bottom w:val="single" w:sz="4" w:space="0" w:color="808080"/>
              <w:right w:val="single" w:sz="4" w:space="0" w:color="808080"/>
            </w:tcBorders>
            <w:shd w:val="clear" w:color="auto" w:fill="auto"/>
            <w:vAlign w:val="center"/>
            <w:hideMark/>
          </w:tcPr>
          <w:p w14:paraId="5777FE91" w14:textId="77777777" w:rsidR="00D849C6" w:rsidRPr="001D27C6" w:rsidRDefault="00D849C6" w:rsidP="00D849C6">
            <w:pPr>
              <w:spacing w:after="0" w:line="240" w:lineRule="auto"/>
              <w:rPr>
                <w:rFonts w:eastAsia="Times New Roman" w:cstheme="minorHAnsi"/>
                <w:color w:val="000000"/>
                <w:sz w:val="20"/>
                <w:szCs w:val="20"/>
                <w:lang w:eastAsia="it-IT"/>
              </w:rPr>
            </w:pPr>
            <w:r w:rsidRPr="001D27C6">
              <w:rPr>
                <w:rFonts w:eastAsia="Times New Roman" w:cstheme="minorHAnsi"/>
                <w:color w:val="000000"/>
                <w:sz w:val="20"/>
                <w:szCs w:val="20"/>
                <w:lang w:eastAsia="it-IT"/>
              </w:rPr>
              <w:t>SURNAME (*):</w:t>
            </w:r>
          </w:p>
        </w:tc>
      </w:tr>
      <w:tr w:rsidR="00D849C6" w:rsidRPr="001D27C6" w14:paraId="4EDC3D6A" w14:textId="77777777" w:rsidTr="00D849C6">
        <w:trPr>
          <w:trHeight w:val="402"/>
        </w:trPr>
        <w:tc>
          <w:tcPr>
            <w:tcW w:w="4476" w:type="dxa"/>
            <w:tcBorders>
              <w:top w:val="nil"/>
              <w:left w:val="single" w:sz="4" w:space="0" w:color="808080"/>
              <w:bottom w:val="single" w:sz="4" w:space="0" w:color="808080"/>
              <w:right w:val="single" w:sz="4" w:space="0" w:color="808080"/>
            </w:tcBorders>
            <w:shd w:val="clear" w:color="auto" w:fill="auto"/>
            <w:vAlign w:val="center"/>
            <w:hideMark/>
          </w:tcPr>
          <w:p w14:paraId="61C8E491" w14:textId="77777777" w:rsidR="00D849C6" w:rsidRPr="001D27C6" w:rsidRDefault="00D849C6" w:rsidP="00D849C6">
            <w:pPr>
              <w:spacing w:after="0" w:line="240" w:lineRule="auto"/>
              <w:rPr>
                <w:rFonts w:eastAsia="Times New Roman" w:cstheme="minorHAnsi"/>
                <w:color w:val="000000"/>
                <w:sz w:val="20"/>
                <w:szCs w:val="20"/>
                <w:lang w:eastAsia="it-IT"/>
              </w:rPr>
            </w:pPr>
            <w:r w:rsidRPr="001D27C6">
              <w:rPr>
                <w:rFonts w:eastAsia="Times New Roman" w:cstheme="minorHAnsi"/>
                <w:color w:val="000000"/>
                <w:sz w:val="20"/>
                <w:szCs w:val="20"/>
                <w:lang w:eastAsia="it-IT"/>
              </w:rPr>
              <w:t>SHARE CAPITAL</w:t>
            </w:r>
            <w:r w:rsidR="004B78B3" w:rsidRPr="001D27C6">
              <w:rPr>
                <w:rFonts w:eastAsia="Times New Roman" w:cstheme="minorHAnsi"/>
                <w:color w:val="000000"/>
                <w:sz w:val="20"/>
                <w:szCs w:val="20"/>
                <w:lang w:eastAsia="it-IT"/>
              </w:rPr>
              <w:t xml:space="preserve"> </w:t>
            </w:r>
            <w:r w:rsidRPr="001D27C6">
              <w:rPr>
                <w:rFonts w:eastAsia="Times New Roman" w:cstheme="minorHAnsi"/>
                <w:color w:val="000000"/>
                <w:sz w:val="20"/>
                <w:szCs w:val="20"/>
                <w:lang w:eastAsia="it-IT"/>
              </w:rPr>
              <w:t>(*):</w:t>
            </w:r>
          </w:p>
        </w:tc>
        <w:tc>
          <w:tcPr>
            <w:tcW w:w="4312" w:type="dxa"/>
            <w:tcBorders>
              <w:top w:val="nil"/>
              <w:left w:val="nil"/>
              <w:bottom w:val="single" w:sz="4" w:space="0" w:color="808080"/>
              <w:right w:val="single" w:sz="4" w:space="0" w:color="808080"/>
            </w:tcBorders>
            <w:shd w:val="clear" w:color="auto" w:fill="auto"/>
            <w:vAlign w:val="center"/>
            <w:hideMark/>
          </w:tcPr>
          <w:p w14:paraId="72F57D7E" w14:textId="77777777" w:rsidR="00D849C6" w:rsidRPr="001D27C6" w:rsidRDefault="00D849C6" w:rsidP="00D849C6">
            <w:pPr>
              <w:spacing w:after="0" w:line="240" w:lineRule="auto"/>
              <w:rPr>
                <w:rFonts w:eastAsia="Times New Roman" w:cstheme="minorHAnsi"/>
                <w:color w:val="000000"/>
                <w:sz w:val="20"/>
                <w:szCs w:val="20"/>
                <w:lang w:eastAsia="it-IT"/>
              </w:rPr>
            </w:pPr>
            <w:r w:rsidRPr="001D27C6">
              <w:rPr>
                <w:rFonts w:eastAsia="Times New Roman" w:cstheme="minorHAnsi"/>
                <w:color w:val="000000"/>
                <w:sz w:val="20"/>
                <w:szCs w:val="20"/>
                <w:lang w:eastAsia="it-IT"/>
              </w:rPr>
              <w:t>NAME (*):</w:t>
            </w:r>
          </w:p>
        </w:tc>
      </w:tr>
      <w:tr w:rsidR="00D849C6" w:rsidRPr="001D27C6" w14:paraId="06B421B8" w14:textId="77777777" w:rsidTr="00D849C6">
        <w:trPr>
          <w:trHeight w:val="402"/>
        </w:trPr>
        <w:tc>
          <w:tcPr>
            <w:tcW w:w="4476" w:type="dxa"/>
            <w:tcBorders>
              <w:top w:val="nil"/>
              <w:left w:val="single" w:sz="4" w:space="0" w:color="808080"/>
              <w:bottom w:val="single" w:sz="4" w:space="0" w:color="808080"/>
              <w:right w:val="single" w:sz="4" w:space="0" w:color="808080"/>
            </w:tcBorders>
            <w:shd w:val="clear" w:color="auto" w:fill="auto"/>
            <w:vAlign w:val="center"/>
            <w:hideMark/>
          </w:tcPr>
          <w:p w14:paraId="722CE20C" w14:textId="77777777" w:rsidR="00D849C6" w:rsidRPr="001D27C6" w:rsidRDefault="00D849C6" w:rsidP="00D849C6">
            <w:pPr>
              <w:spacing w:after="0" w:line="240" w:lineRule="auto"/>
              <w:rPr>
                <w:rFonts w:eastAsia="Times New Roman" w:cstheme="minorHAnsi"/>
                <w:color w:val="000000"/>
                <w:sz w:val="20"/>
                <w:szCs w:val="20"/>
                <w:lang w:eastAsia="it-IT"/>
              </w:rPr>
            </w:pPr>
            <w:r w:rsidRPr="001D27C6">
              <w:rPr>
                <w:rFonts w:eastAsia="Times New Roman" w:cstheme="minorHAnsi"/>
                <w:color w:val="000000"/>
                <w:sz w:val="20"/>
                <w:szCs w:val="20"/>
                <w:lang w:eastAsia="it-IT"/>
              </w:rPr>
              <w:t>REGISTERED OFFICE ADDRESS (*):</w:t>
            </w:r>
          </w:p>
        </w:tc>
        <w:tc>
          <w:tcPr>
            <w:tcW w:w="4312" w:type="dxa"/>
            <w:tcBorders>
              <w:top w:val="nil"/>
              <w:left w:val="nil"/>
              <w:bottom w:val="single" w:sz="4" w:space="0" w:color="808080"/>
              <w:right w:val="single" w:sz="4" w:space="0" w:color="808080"/>
            </w:tcBorders>
            <w:shd w:val="clear" w:color="auto" w:fill="auto"/>
            <w:vAlign w:val="center"/>
            <w:hideMark/>
          </w:tcPr>
          <w:p w14:paraId="3EE8DEB2" w14:textId="77777777" w:rsidR="00D849C6" w:rsidRPr="001D27C6" w:rsidRDefault="00D849C6" w:rsidP="00D849C6">
            <w:pPr>
              <w:spacing w:after="0" w:line="240" w:lineRule="auto"/>
              <w:rPr>
                <w:rFonts w:eastAsia="Times New Roman" w:cstheme="minorHAnsi"/>
                <w:color w:val="000000"/>
                <w:sz w:val="20"/>
                <w:szCs w:val="20"/>
                <w:lang w:eastAsia="it-IT"/>
              </w:rPr>
            </w:pPr>
            <w:r w:rsidRPr="001D27C6">
              <w:rPr>
                <w:rFonts w:eastAsia="Times New Roman" w:cstheme="minorHAnsi"/>
                <w:color w:val="000000"/>
                <w:sz w:val="20"/>
                <w:szCs w:val="20"/>
                <w:lang w:eastAsia="it-IT"/>
              </w:rPr>
              <w:t>PHONE/MOBILE (*):</w:t>
            </w:r>
          </w:p>
        </w:tc>
      </w:tr>
      <w:tr w:rsidR="00D849C6" w:rsidRPr="001D27C6" w14:paraId="19DCC4ED" w14:textId="77777777" w:rsidTr="00D849C6">
        <w:trPr>
          <w:trHeight w:val="402"/>
        </w:trPr>
        <w:tc>
          <w:tcPr>
            <w:tcW w:w="4476" w:type="dxa"/>
            <w:tcBorders>
              <w:top w:val="nil"/>
              <w:left w:val="single" w:sz="4" w:space="0" w:color="808080"/>
              <w:bottom w:val="single" w:sz="4" w:space="0" w:color="808080"/>
              <w:right w:val="single" w:sz="4" w:space="0" w:color="808080"/>
            </w:tcBorders>
            <w:shd w:val="clear" w:color="auto" w:fill="auto"/>
            <w:vAlign w:val="center"/>
            <w:hideMark/>
          </w:tcPr>
          <w:p w14:paraId="477E3528" w14:textId="77777777" w:rsidR="00D849C6" w:rsidRPr="001D27C6" w:rsidRDefault="00D849C6" w:rsidP="00D849C6">
            <w:pPr>
              <w:spacing w:after="0" w:line="240" w:lineRule="auto"/>
              <w:rPr>
                <w:rFonts w:eastAsia="Times New Roman" w:cstheme="minorHAnsi"/>
                <w:color w:val="000000"/>
                <w:sz w:val="20"/>
                <w:szCs w:val="20"/>
                <w:lang w:eastAsia="it-IT"/>
              </w:rPr>
            </w:pPr>
            <w:r w:rsidRPr="001D27C6">
              <w:rPr>
                <w:rFonts w:eastAsia="Times New Roman" w:cstheme="minorHAnsi"/>
                <w:color w:val="000000"/>
                <w:sz w:val="20"/>
                <w:szCs w:val="20"/>
                <w:lang w:eastAsia="it-IT"/>
              </w:rPr>
              <w:t>VAT NUMBER (*):</w:t>
            </w:r>
          </w:p>
        </w:tc>
        <w:tc>
          <w:tcPr>
            <w:tcW w:w="4312" w:type="dxa"/>
            <w:tcBorders>
              <w:top w:val="nil"/>
              <w:left w:val="nil"/>
              <w:bottom w:val="single" w:sz="4" w:space="0" w:color="808080"/>
              <w:right w:val="single" w:sz="4" w:space="0" w:color="808080"/>
            </w:tcBorders>
            <w:shd w:val="clear" w:color="auto" w:fill="auto"/>
            <w:vAlign w:val="center"/>
            <w:hideMark/>
          </w:tcPr>
          <w:p w14:paraId="4FCA2AE7" w14:textId="77777777" w:rsidR="00D849C6" w:rsidRPr="001D27C6" w:rsidRDefault="00D849C6" w:rsidP="00D849C6">
            <w:pPr>
              <w:spacing w:after="0" w:line="240" w:lineRule="auto"/>
              <w:rPr>
                <w:rFonts w:eastAsia="Times New Roman" w:cstheme="minorHAnsi"/>
                <w:color w:val="000000"/>
                <w:sz w:val="20"/>
                <w:szCs w:val="20"/>
                <w:lang w:eastAsia="it-IT"/>
              </w:rPr>
            </w:pPr>
            <w:r w:rsidRPr="001D27C6">
              <w:rPr>
                <w:rFonts w:eastAsia="Times New Roman" w:cstheme="minorHAnsi"/>
                <w:color w:val="000000"/>
                <w:sz w:val="20"/>
                <w:szCs w:val="20"/>
                <w:lang w:eastAsia="it-IT"/>
              </w:rPr>
              <w:t>EMAIL ADDRESS (*):</w:t>
            </w:r>
          </w:p>
        </w:tc>
      </w:tr>
    </w:tbl>
    <w:p w14:paraId="457B65E1" w14:textId="77777777" w:rsidR="00D849C6" w:rsidRPr="001D27C6" w:rsidRDefault="00D849C6" w:rsidP="00D849C6">
      <w:pPr>
        <w:tabs>
          <w:tab w:val="left" w:pos="9004"/>
          <w:tab w:val="left" w:pos="10113"/>
        </w:tabs>
        <w:spacing w:before="120"/>
        <w:ind w:left="284"/>
        <w:rPr>
          <w:rFonts w:cstheme="minorHAnsi"/>
          <w:i/>
          <w:sz w:val="20"/>
          <w:szCs w:val="20"/>
        </w:rPr>
      </w:pPr>
      <w:r w:rsidRPr="001D27C6">
        <w:rPr>
          <w:rFonts w:cstheme="minorHAnsi"/>
          <w:i/>
          <w:sz w:val="20"/>
          <w:szCs w:val="20"/>
        </w:rPr>
        <w:t xml:space="preserve"> (*) Confidential data used for internal evaluation. These data will not be published.</w:t>
      </w:r>
    </w:p>
    <w:p w14:paraId="2A0041E8" w14:textId="77777777" w:rsidR="00D849C6" w:rsidRPr="001D27C6" w:rsidRDefault="00D849C6" w:rsidP="00D849C6">
      <w:pPr>
        <w:tabs>
          <w:tab w:val="left" w:pos="9004"/>
          <w:tab w:val="left" w:pos="10113"/>
        </w:tabs>
        <w:spacing w:before="120"/>
        <w:rPr>
          <w:rFonts w:cstheme="minorHAnsi"/>
          <w:i/>
          <w:sz w:val="20"/>
          <w:szCs w:val="20"/>
        </w:rPr>
      </w:pPr>
    </w:p>
    <w:tbl>
      <w:tblPr>
        <w:tblW w:w="5377" w:type="pct"/>
        <w:jc w:val="center"/>
        <w:tblLayout w:type="fixed"/>
        <w:tblCellMar>
          <w:left w:w="0" w:type="dxa"/>
          <w:right w:w="0" w:type="dxa"/>
        </w:tblCellMar>
        <w:tblLook w:val="04A0" w:firstRow="1" w:lastRow="0" w:firstColumn="1" w:lastColumn="0" w:noHBand="0" w:noVBand="1"/>
      </w:tblPr>
      <w:tblGrid>
        <w:gridCol w:w="264"/>
        <w:gridCol w:w="1941"/>
        <w:gridCol w:w="2028"/>
        <w:gridCol w:w="2196"/>
        <w:gridCol w:w="1375"/>
        <w:gridCol w:w="1920"/>
      </w:tblGrid>
      <w:tr w:rsidR="00D849C6" w:rsidRPr="001D27C6" w14:paraId="31225E10" w14:textId="77777777" w:rsidTr="00D849C6">
        <w:trPr>
          <w:jc w:val="center"/>
        </w:trPr>
        <w:tc>
          <w:tcPr>
            <w:tcW w:w="5000" w:type="pct"/>
            <w:gridSpan w:val="6"/>
            <w:tcBorders>
              <w:top w:val="single" w:sz="8" w:space="0" w:color="auto"/>
              <w:left w:val="single" w:sz="8" w:space="0" w:color="auto"/>
              <w:bottom w:val="single" w:sz="8" w:space="0" w:color="auto"/>
              <w:right w:val="single" w:sz="8" w:space="0" w:color="auto"/>
            </w:tcBorders>
          </w:tcPr>
          <w:p w14:paraId="66ED1A99" w14:textId="77777777" w:rsidR="00D849C6" w:rsidRPr="001D27C6" w:rsidRDefault="00D849C6" w:rsidP="00D849C6">
            <w:pPr>
              <w:spacing w:before="240"/>
              <w:ind w:left="129"/>
              <w:rPr>
                <w:rFonts w:cstheme="minorHAnsi"/>
                <w:b/>
                <w:bCs/>
                <w:sz w:val="20"/>
                <w:szCs w:val="20"/>
              </w:rPr>
            </w:pPr>
            <w:r w:rsidRPr="001D27C6">
              <w:rPr>
                <w:rFonts w:cstheme="minorHAnsi"/>
                <w:b/>
                <w:bCs/>
              </w:rPr>
              <w:lastRenderedPageBreak/>
              <w:t>Firm Capacity* in DESFA’s System</w:t>
            </w:r>
          </w:p>
        </w:tc>
      </w:tr>
      <w:tr w:rsidR="00D849C6" w:rsidRPr="001D27C6" w14:paraId="546886A9" w14:textId="77777777" w:rsidTr="00D849C6">
        <w:trPr>
          <w:jc w:val="center"/>
        </w:trPr>
        <w:tc>
          <w:tcPr>
            <w:tcW w:w="136" w:type="pct"/>
            <w:tcBorders>
              <w:top w:val="nil"/>
              <w:left w:val="single" w:sz="8" w:space="0" w:color="auto"/>
              <w:bottom w:val="single" w:sz="8" w:space="0" w:color="auto"/>
              <w:right w:val="single" w:sz="8" w:space="0" w:color="auto"/>
            </w:tcBorders>
          </w:tcPr>
          <w:p w14:paraId="0E7F56AB" w14:textId="77777777" w:rsidR="00D849C6" w:rsidRPr="001D27C6" w:rsidRDefault="00D849C6" w:rsidP="00D849C6">
            <w:pPr>
              <w:spacing w:after="0"/>
              <w:rPr>
                <w:rFonts w:cstheme="minorHAnsi"/>
                <w:b/>
                <w:bCs/>
              </w:rPr>
            </w:pPr>
          </w:p>
        </w:tc>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CA334" w14:textId="40363C28" w:rsidR="00D849C6" w:rsidRPr="001D27C6" w:rsidRDefault="00D849C6" w:rsidP="00D849C6">
            <w:pPr>
              <w:spacing w:after="0"/>
              <w:rPr>
                <w:rFonts w:cstheme="minorHAnsi"/>
                <w:b/>
                <w:bCs/>
              </w:rPr>
            </w:pPr>
            <w:r w:rsidRPr="001D27C6">
              <w:rPr>
                <w:rFonts w:cstheme="minorHAnsi"/>
                <w:b/>
                <w:bCs/>
              </w:rPr>
              <w:t>Entry</w:t>
            </w:r>
            <w:r w:rsidR="006D5364">
              <w:rPr>
                <w:rFonts w:cstheme="minorHAnsi"/>
                <w:b/>
                <w:bCs/>
              </w:rPr>
              <w:t>/Exit</w:t>
            </w:r>
            <w:r w:rsidRPr="001D27C6">
              <w:rPr>
                <w:rFonts w:cstheme="minorHAnsi"/>
                <w:b/>
                <w:bCs/>
              </w:rPr>
              <w:t xml:space="preserve"> Point</w:t>
            </w:r>
            <w:r w:rsidRPr="001D27C6">
              <w:rPr>
                <w:rStyle w:val="FootnoteReference"/>
                <w:rFonts w:cstheme="minorHAnsi"/>
                <w:b/>
                <w:bCs/>
              </w:rPr>
              <w:footnoteReference w:customMarkFollows="1" w:id="10"/>
              <w:t>[1]</w:t>
            </w:r>
          </w:p>
        </w:tc>
        <w:tc>
          <w:tcPr>
            <w:tcW w:w="104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7DEDDD" w14:textId="77777777" w:rsidR="00D849C6" w:rsidRPr="001D27C6" w:rsidRDefault="00D849C6" w:rsidP="00D849C6">
            <w:pPr>
              <w:spacing w:after="0"/>
              <w:rPr>
                <w:rFonts w:cstheme="minorHAnsi"/>
                <w:b/>
                <w:bCs/>
              </w:rPr>
            </w:pPr>
            <w:r w:rsidRPr="001D27C6">
              <w:rPr>
                <w:rFonts w:cstheme="minorHAnsi"/>
                <w:b/>
                <w:bCs/>
              </w:rPr>
              <w:t>Requested Capacity in kWh per Gas Day</w:t>
            </w:r>
          </w:p>
        </w:tc>
        <w:tc>
          <w:tcPr>
            <w:tcW w:w="11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1B074F" w14:textId="77777777" w:rsidR="00D849C6" w:rsidRPr="001D27C6" w:rsidRDefault="00D849C6" w:rsidP="00D849C6">
            <w:pPr>
              <w:spacing w:after="0"/>
              <w:rPr>
                <w:rFonts w:cstheme="minorHAnsi"/>
                <w:b/>
                <w:bCs/>
              </w:rPr>
            </w:pPr>
            <w:r w:rsidRPr="001D27C6">
              <w:rPr>
                <w:rFonts w:cstheme="minorHAnsi"/>
                <w:b/>
                <w:bCs/>
              </w:rPr>
              <w:t>Requested Start Date</w:t>
            </w:r>
          </w:p>
        </w:tc>
        <w:tc>
          <w:tcPr>
            <w:tcW w:w="7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F43B3D" w14:textId="77777777" w:rsidR="00D849C6" w:rsidRPr="001D27C6" w:rsidRDefault="00D849C6" w:rsidP="00D849C6">
            <w:pPr>
              <w:spacing w:after="0"/>
              <w:rPr>
                <w:rFonts w:cstheme="minorHAnsi"/>
                <w:b/>
                <w:bCs/>
              </w:rPr>
            </w:pPr>
            <w:r w:rsidRPr="001D27C6">
              <w:rPr>
                <w:rFonts w:cstheme="minorHAnsi"/>
                <w:b/>
                <w:bCs/>
              </w:rPr>
              <w:t xml:space="preserve">End date </w:t>
            </w:r>
          </w:p>
        </w:tc>
        <w:tc>
          <w:tcPr>
            <w:tcW w:w="98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D6D9AB" w14:textId="77777777" w:rsidR="00C70213" w:rsidRPr="00C70213" w:rsidRDefault="00C70213" w:rsidP="00C70213">
            <w:pPr>
              <w:spacing w:after="0"/>
              <w:rPr>
                <w:rFonts w:cstheme="minorHAnsi"/>
                <w:b/>
                <w:bCs/>
              </w:rPr>
            </w:pPr>
            <w:r w:rsidRPr="00C70213">
              <w:rPr>
                <w:rFonts w:cstheme="minorHAnsi"/>
                <w:b/>
                <w:bCs/>
              </w:rPr>
              <w:t>Minimum Acceptable</w:t>
            </w:r>
          </w:p>
          <w:p w14:paraId="46916F52" w14:textId="33CFDFFD" w:rsidR="00D849C6" w:rsidRPr="001D27C6" w:rsidRDefault="00C70213" w:rsidP="00C70213">
            <w:pPr>
              <w:spacing w:after="0"/>
              <w:rPr>
                <w:rFonts w:cstheme="minorHAnsi"/>
                <w:b/>
                <w:bCs/>
              </w:rPr>
            </w:pPr>
            <w:r w:rsidRPr="00C70213">
              <w:rPr>
                <w:rFonts w:cstheme="minorHAnsi"/>
                <w:b/>
                <w:bCs/>
              </w:rPr>
              <w:t>Binding Capacity</w:t>
            </w:r>
          </w:p>
        </w:tc>
      </w:tr>
      <w:tr w:rsidR="00D849C6" w:rsidRPr="001D27C6" w14:paraId="2583C4D3" w14:textId="77777777" w:rsidTr="00D849C6">
        <w:trPr>
          <w:jc w:val="center"/>
        </w:trPr>
        <w:tc>
          <w:tcPr>
            <w:tcW w:w="136" w:type="pct"/>
            <w:tcBorders>
              <w:top w:val="nil"/>
              <w:left w:val="single" w:sz="8" w:space="0" w:color="auto"/>
              <w:bottom w:val="nil"/>
              <w:right w:val="single" w:sz="8" w:space="0" w:color="auto"/>
            </w:tcBorders>
          </w:tcPr>
          <w:p w14:paraId="4902F47C" w14:textId="77777777" w:rsidR="00D849C6" w:rsidRPr="001D27C6" w:rsidRDefault="00D849C6" w:rsidP="00D849C6">
            <w:pPr>
              <w:rPr>
                <w:rFonts w:cstheme="minorHAnsi"/>
                <w:b/>
                <w:iCs/>
                <w:color w:val="0070C0"/>
                <w:sz w:val="20"/>
                <w:szCs w:val="20"/>
              </w:rPr>
            </w:pPr>
            <w:r w:rsidRPr="001D27C6">
              <w:rPr>
                <w:rFonts w:cstheme="minorHAnsi"/>
                <w:b/>
                <w:iCs/>
                <w:color w:val="0070C0"/>
                <w:sz w:val="20"/>
                <w:szCs w:val="20"/>
              </w:rPr>
              <w:t>1.</w:t>
            </w:r>
          </w:p>
        </w:tc>
        <w:tc>
          <w:tcPr>
            <w:tcW w:w="998" w:type="pct"/>
            <w:tcBorders>
              <w:top w:val="nil"/>
              <w:left w:val="single" w:sz="8" w:space="0" w:color="auto"/>
              <w:bottom w:val="nil"/>
              <w:right w:val="single" w:sz="8" w:space="0" w:color="auto"/>
            </w:tcBorders>
            <w:tcMar>
              <w:top w:w="0" w:type="dxa"/>
              <w:left w:w="108" w:type="dxa"/>
              <w:bottom w:w="0" w:type="dxa"/>
              <w:right w:w="108" w:type="dxa"/>
            </w:tcMar>
            <w:hideMark/>
          </w:tcPr>
          <w:p w14:paraId="123F8FF9" w14:textId="77777777" w:rsidR="002E12D9" w:rsidRDefault="00D849C6" w:rsidP="00D849C6">
            <w:pPr>
              <w:rPr>
                <w:rFonts w:cstheme="minorHAnsi"/>
                <w:b/>
                <w:iCs/>
                <w:color w:val="0070C0"/>
                <w:sz w:val="20"/>
                <w:szCs w:val="20"/>
              </w:rPr>
            </w:pPr>
            <w:proofErr w:type="spellStart"/>
            <w:r w:rsidRPr="001D27C6">
              <w:rPr>
                <w:rFonts w:cstheme="minorHAnsi"/>
                <w:b/>
                <w:iCs/>
                <w:color w:val="0070C0"/>
                <w:sz w:val="20"/>
                <w:szCs w:val="20"/>
              </w:rPr>
              <w:t>Nea</w:t>
            </w:r>
            <w:proofErr w:type="spellEnd"/>
            <w:r w:rsidRPr="001D27C6">
              <w:rPr>
                <w:rFonts w:cstheme="minorHAnsi"/>
                <w:b/>
                <w:iCs/>
                <w:color w:val="0070C0"/>
                <w:sz w:val="20"/>
                <w:szCs w:val="20"/>
              </w:rPr>
              <w:t xml:space="preserve"> Mesimvria</w:t>
            </w:r>
            <w:r w:rsidR="002E12D9">
              <w:rPr>
                <w:rFonts w:cstheme="minorHAnsi"/>
                <w:b/>
                <w:iCs/>
                <w:color w:val="0070C0"/>
                <w:sz w:val="20"/>
                <w:szCs w:val="20"/>
              </w:rPr>
              <w:t xml:space="preserve"> </w:t>
            </w:r>
          </w:p>
          <w:p w14:paraId="6A406C8E" w14:textId="77777777" w:rsidR="00A56949" w:rsidRDefault="002E12D9" w:rsidP="00D849C6">
            <w:pPr>
              <w:rPr>
                <w:rFonts w:cstheme="minorHAnsi"/>
                <w:b/>
                <w:iCs/>
                <w:color w:val="0070C0"/>
                <w:sz w:val="20"/>
                <w:szCs w:val="20"/>
              </w:rPr>
            </w:pPr>
            <w:r>
              <w:rPr>
                <w:rFonts w:cstheme="minorHAnsi"/>
                <w:b/>
                <w:iCs/>
                <w:color w:val="0070C0"/>
                <w:sz w:val="20"/>
                <w:szCs w:val="20"/>
              </w:rPr>
              <w:t xml:space="preserve">Entry </w:t>
            </w:r>
            <w:r w:rsidR="00A56949">
              <w:rPr>
                <w:rFonts w:cstheme="minorHAnsi"/>
                <w:b/>
                <w:iCs/>
                <w:color w:val="0070C0"/>
                <w:sz w:val="20"/>
                <w:szCs w:val="20"/>
              </w:rPr>
              <w:t xml:space="preserve">capacity </w:t>
            </w:r>
            <w:r>
              <w:rPr>
                <w:rFonts w:cstheme="minorHAnsi"/>
                <w:b/>
                <w:iCs/>
                <w:color w:val="0070C0"/>
                <w:sz w:val="20"/>
                <w:szCs w:val="20"/>
              </w:rPr>
              <w:t>/ Exit</w:t>
            </w:r>
            <w:r w:rsidR="00A56949">
              <w:rPr>
                <w:rFonts w:cstheme="minorHAnsi"/>
                <w:b/>
                <w:iCs/>
                <w:color w:val="0070C0"/>
                <w:sz w:val="20"/>
                <w:szCs w:val="20"/>
              </w:rPr>
              <w:t xml:space="preserve"> capacity</w:t>
            </w:r>
          </w:p>
          <w:p w14:paraId="2D636023" w14:textId="78A53673" w:rsidR="00D849C6" w:rsidRPr="001D27C6" w:rsidRDefault="00D849C6" w:rsidP="00D849C6">
            <w:pPr>
              <w:rPr>
                <w:rFonts w:cstheme="minorHAnsi"/>
                <w:i/>
                <w:iCs/>
                <w:sz w:val="20"/>
                <w:szCs w:val="20"/>
              </w:rPr>
            </w:pPr>
            <w:r w:rsidRPr="001D27C6">
              <w:rPr>
                <w:rFonts w:cstheme="minorHAnsi"/>
                <w:i/>
                <w:iCs/>
                <w:sz w:val="20"/>
                <w:szCs w:val="20"/>
              </w:rPr>
              <w:t>[</w:t>
            </w:r>
            <w:r w:rsidR="003B185F">
              <w:t xml:space="preserve"> </w:t>
            </w:r>
            <w:r w:rsidR="003B185F" w:rsidRPr="003B185F">
              <w:rPr>
                <w:rFonts w:cstheme="minorHAnsi"/>
                <w:i/>
                <w:iCs/>
                <w:sz w:val="20"/>
                <w:szCs w:val="20"/>
              </w:rPr>
              <w:t xml:space="preserve">Please </w:t>
            </w:r>
            <w:r w:rsidR="00093DDA">
              <w:rPr>
                <w:rFonts w:cstheme="minorHAnsi"/>
                <w:i/>
                <w:iCs/>
                <w:sz w:val="20"/>
                <w:szCs w:val="20"/>
              </w:rPr>
              <w:t xml:space="preserve">indicate </w:t>
            </w:r>
            <w:r w:rsidR="00C266DA">
              <w:rPr>
                <w:rFonts w:cstheme="minorHAnsi"/>
                <w:i/>
                <w:iCs/>
                <w:sz w:val="20"/>
                <w:szCs w:val="20"/>
              </w:rPr>
              <w:t xml:space="preserve">the type of capacity, </w:t>
            </w:r>
            <w:proofErr w:type="gramStart"/>
            <w:r w:rsidR="00C266DA">
              <w:rPr>
                <w:rFonts w:cstheme="minorHAnsi"/>
                <w:i/>
                <w:iCs/>
                <w:sz w:val="20"/>
                <w:szCs w:val="20"/>
              </w:rPr>
              <w:t>entry</w:t>
            </w:r>
            <w:proofErr w:type="gramEnd"/>
            <w:r w:rsidR="00C266DA">
              <w:rPr>
                <w:rFonts w:cstheme="minorHAnsi"/>
                <w:i/>
                <w:iCs/>
                <w:sz w:val="20"/>
                <w:szCs w:val="20"/>
              </w:rPr>
              <w:t xml:space="preserve"> or exit</w:t>
            </w:r>
            <w:r w:rsidR="003B185F">
              <w:rPr>
                <w:rFonts w:cstheme="minorHAnsi"/>
                <w:i/>
                <w:iCs/>
                <w:sz w:val="20"/>
                <w:szCs w:val="20"/>
              </w:rPr>
              <w:t>, by deleting as appropriate</w:t>
            </w:r>
            <w:r w:rsidRPr="001D27C6">
              <w:rPr>
                <w:rFonts w:cstheme="minorHAnsi"/>
                <w:i/>
                <w:iCs/>
                <w:sz w:val="20"/>
                <w:szCs w:val="20"/>
              </w:rPr>
              <w:t>]</w:t>
            </w:r>
          </w:p>
        </w:tc>
        <w:tc>
          <w:tcPr>
            <w:tcW w:w="1043" w:type="pct"/>
            <w:tcBorders>
              <w:top w:val="nil"/>
              <w:left w:val="nil"/>
              <w:bottom w:val="nil"/>
              <w:right w:val="single" w:sz="8" w:space="0" w:color="auto"/>
            </w:tcBorders>
            <w:tcMar>
              <w:top w:w="0" w:type="dxa"/>
              <w:left w:w="108" w:type="dxa"/>
              <w:bottom w:w="0" w:type="dxa"/>
              <w:right w:w="108" w:type="dxa"/>
            </w:tcMar>
            <w:hideMark/>
          </w:tcPr>
          <w:p w14:paraId="586BF81A" w14:textId="77777777" w:rsidR="00D849C6" w:rsidRPr="001D27C6" w:rsidRDefault="00D849C6" w:rsidP="00D849C6">
            <w:pPr>
              <w:jc w:val="both"/>
              <w:rPr>
                <w:rFonts w:cstheme="minorHAnsi"/>
                <w:i/>
                <w:iCs/>
                <w:sz w:val="20"/>
                <w:szCs w:val="20"/>
              </w:rPr>
            </w:pPr>
          </w:p>
          <w:p w14:paraId="4119F209" w14:textId="6C745BB9" w:rsidR="00D849C6" w:rsidRPr="001D27C6" w:rsidRDefault="00D849C6" w:rsidP="00D849C6">
            <w:pPr>
              <w:jc w:val="both"/>
              <w:rPr>
                <w:rFonts w:cstheme="minorHAnsi"/>
                <w:i/>
                <w:iCs/>
                <w:sz w:val="20"/>
                <w:szCs w:val="20"/>
              </w:rPr>
            </w:pPr>
            <w:r w:rsidRPr="001D27C6">
              <w:rPr>
                <w:rFonts w:cstheme="minorHAnsi"/>
                <w:i/>
                <w:iCs/>
                <w:sz w:val="20"/>
                <w:szCs w:val="20"/>
              </w:rPr>
              <w:t xml:space="preserve">[Capacity must be equal or less than the </w:t>
            </w:r>
            <w:r w:rsidR="00E81D88">
              <w:rPr>
                <w:rFonts w:cstheme="minorHAnsi"/>
                <w:i/>
                <w:iCs/>
                <w:sz w:val="20"/>
                <w:szCs w:val="20"/>
              </w:rPr>
              <w:t xml:space="preserve">respective </w:t>
            </w:r>
            <w:r w:rsidR="003306A0">
              <w:rPr>
                <w:rFonts w:cstheme="minorHAnsi"/>
                <w:i/>
                <w:iCs/>
                <w:sz w:val="20"/>
                <w:szCs w:val="20"/>
              </w:rPr>
              <w:t xml:space="preserve">maximum offered </w:t>
            </w:r>
            <w:r w:rsidR="003B185F">
              <w:rPr>
                <w:rFonts w:cstheme="minorHAnsi"/>
                <w:i/>
                <w:iCs/>
                <w:sz w:val="20"/>
                <w:szCs w:val="20"/>
              </w:rPr>
              <w:t>capacity</w:t>
            </w:r>
            <w:r w:rsidRPr="001D27C6">
              <w:rPr>
                <w:rFonts w:cstheme="minorHAnsi"/>
                <w:i/>
                <w:iCs/>
                <w:sz w:val="20"/>
                <w:szCs w:val="20"/>
              </w:rPr>
              <w:t xml:space="preserve"> at </w:t>
            </w:r>
            <w:proofErr w:type="spellStart"/>
            <w:r w:rsidRPr="001D27C6">
              <w:rPr>
                <w:rFonts w:cstheme="minorHAnsi"/>
                <w:i/>
                <w:iCs/>
                <w:sz w:val="20"/>
                <w:szCs w:val="20"/>
              </w:rPr>
              <w:t>Nea</w:t>
            </w:r>
            <w:proofErr w:type="spellEnd"/>
            <w:r w:rsidRPr="001D27C6">
              <w:rPr>
                <w:rFonts w:cstheme="minorHAnsi"/>
                <w:i/>
                <w:iCs/>
                <w:sz w:val="20"/>
                <w:szCs w:val="20"/>
              </w:rPr>
              <w:t xml:space="preserve"> Mesimvria as described in 3.1 and the Project Proposal</w:t>
            </w:r>
            <w:r w:rsidR="00AE3B3A">
              <w:rPr>
                <w:rFonts w:cstheme="minorHAnsi"/>
                <w:i/>
                <w:iCs/>
                <w:sz w:val="20"/>
                <w:szCs w:val="20"/>
              </w:rPr>
              <w:t xml:space="preserve"> - </w:t>
            </w:r>
            <w:r w:rsidR="00AE3B3A" w:rsidRPr="00AE3B3A">
              <w:rPr>
                <w:rFonts w:cstheme="minorHAnsi"/>
                <w:i/>
                <w:iCs/>
                <w:sz w:val="20"/>
                <w:szCs w:val="20"/>
              </w:rPr>
              <w:t>B. Offer Levels</w:t>
            </w:r>
            <w:r w:rsidRPr="001D27C6">
              <w:rPr>
                <w:rFonts w:cstheme="minorHAnsi"/>
                <w:i/>
                <w:iCs/>
                <w:sz w:val="20"/>
                <w:szCs w:val="20"/>
              </w:rPr>
              <w:t>]</w:t>
            </w:r>
          </w:p>
        </w:tc>
        <w:tc>
          <w:tcPr>
            <w:tcW w:w="1129" w:type="pct"/>
            <w:tcBorders>
              <w:top w:val="nil"/>
              <w:left w:val="nil"/>
              <w:bottom w:val="nil"/>
              <w:right w:val="single" w:sz="8" w:space="0" w:color="auto"/>
            </w:tcBorders>
            <w:tcMar>
              <w:top w:w="0" w:type="dxa"/>
              <w:left w:w="108" w:type="dxa"/>
              <w:bottom w:w="0" w:type="dxa"/>
              <w:right w:w="108" w:type="dxa"/>
            </w:tcMar>
            <w:hideMark/>
          </w:tcPr>
          <w:p w14:paraId="1B670F06" w14:textId="77777777" w:rsidR="00D849C6" w:rsidRPr="001D27C6" w:rsidRDefault="00D849C6" w:rsidP="00D849C6">
            <w:pPr>
              <w:rPr>
                <w:rFonts w:cstheme="minorHAnsi"/>
                <w:i/>
                <w:iCs/>
                <w:sz w:val="20"/>
                <w:szCs w:val="20"/>
              </w:rPr>
            </w:pPr>
          </w:p>
          <w:p w14:paraId="5BB82528" w14:textId="4E76194C" w:rsidR="00D849C6" w:rsidRPr="009B77AE" w:rsidRDefault="00D849C6" w:rsidP="00D849C6">
            <w:pPr>
              <w:rPr>
                <w:rFonts w:cstheme="minorHAnsi"/>
                <w:i/>
                <w:iCs/>
                <w:sz w:val="20"/>
                <w:szCs w:val="20"/>
              </w:rPr>
            </w:pPr>
            <w:r w:rsidRPr="001D27C6">
              <w:rPr>
                <w:rFonts w:cstheme="minorHAnsi"/>
                <w:i/>
                <w:iCs/>
                <w:sz w:val="20"/>
                <w:szCs w:val="20"/>
              </w:rPr>
              <w:t>[Insert start of the Gas Year of capacity request. That date cannot be before the</w:t>
            </w:r>
            <w:r w:rsidR="00B47702">
              <w:rPr>
                <w:rFonts w:cstheme="minorHAnsi"/>
                <w:i/>
                <w:iCs/>
                <w:sz w:val="20"/>
                <w:szCs w:val="20"/>
              </w:rPr>
              <w:t xml:space="preserve"> respective</w:t>
            </w:r>
            <w:r w:rsidRPr="001D27C6">
              <w:rPr>
                <w:rFonts w:cstheme="minorHAnsi"/>
                <w:i/>
                <w:iCs/>
                <w:sz w:val="20"/>
                <w:szCs w:val="20"/>
              </w:rPr>
              <w:t xml:space="preserve"> E-COD specified for </w:t>
            </w:r>
            <w:proofErr w:type="spellStart"/>
            <w:r w:rsidRPr="001D27C6">
              <w:rPr>
                <w:rFonts w:cstheme="minorHAnsi"/>
                <w:i/>
                <w:iCs/>
                <w:sz w:val="20"/>
                <w:szCs w:val="20"/>
              </w:rPr>
              <w:t>Nea</w:t>
            </w:r>
            <w:proofErr w:type="spellEnd"/>
            <w:r w:rsidRPr="001D27C6">
              <w:rPr>
                <w:rFonts w:cstheme="minorHAnsi"/>
                <w:i/>
                <w:iCs/>
                <w:sz w:val="20"/>
                <w:szCs w:val="20"/>
              </w:rPr>
              <w:t xml:space="preserve"> Mesimvria IP, as published in the Project Proposal</w:t>
            </w:r>
            <w:r w:rsidR="00B47702">
              <w:rPr>
                <w:rFonts w:cstheme="minorHAnsi"/>
                <w:i/>
                <w:iCs/>
                <w:sz w:val="20"/>
                <w:szCs w:val="20"/>
              </w:rPr>
              <w:t xml:space="preserve"> - </w:t>
            </w:r>
            <w:r w:rsidR="00B47702" w:rsidRPr="00B47702">
              <w:rPr>
                <w:rFonts w:cstheme="minorHAnsi"/>
                <w:i/>
                <w:iCs/>
                <w:sz w:val="20"/>
                <w:szCs w:val="20"/>
              </w:rPr>
              <w:t xml:space="preserve">B. Offer </w:t>
            </w:r>
            <w:proofErr w:type="gramStart"/>
            <w:r w:rsidR="00B47702" w:rsidRPr="00B47702">
              <w:rPr>
                <w:rFonts w:cstheme="minorHAnsi"/>
                <w:i/>
                <w:iCs/>
                <w:sz w:val="20"/>
                <w:szCs w:val="20"/>
              </w:rPr>
              <w:t>Levels</w:t>
            </w:r>
            <w:r w:rsidRPr="001D27C6">
              <w:rPr>
                <w:rFonts w:cstheme="minorHAnsi"/>
                <w:i/>
                <w:iCs/>
                <w:sz w:val="20"/>
                <w:szCs w:val="20"/>
              </w:rPr>
              <w:t>]</w:t>
            </w:r>
            <w:r w:rsidR="009B77AE" w:rsidRPr="003A3341">
              <w:rPr>
                <w:rFonts w:cstheme="minorHAnsi"/>
                <w:i/>
                <w:iCs/>
                <w:sz w:val="20"/>
                <w:szCs w:val="20"/>
              </w:rPr>
              <w:t>*</w:t>
            </w:r>
            <w:proofErr w:type="gramEnd"/>
            <w:r w:rsidR="009B77AE" w:rsidRPr="003A3341">
              <w:rPr>
                <w:rFonts w:cstheme="minorHAnsi"/>
                <w:i/>
                <w:iCs/>
                <w:sz w:val="20"/>
                <w:szCs w:val="20"/>
              </w:rPr>
              <w:t>*</w:t>
            </w:r>
          </w:p>
        </w:tc>
        <w:tc>
          <w:tcPr>
            <w:tcW w:w="707" w:type="pct"/>
            <w:tcBorders>
              <w:top w:val="nil"/>
              <w:left w:val="nil"/>
              <w:bottom w:val="nil"/>
              <w:right w:val="single" w:sz="8" w:space="0" w:color="auto"/>
            </w:tcBorders>
            <w:tcMar>
              <w:top w:w="0" w:type="dxa"/>
              <w:left w:w="108" w:type="dxa"/>
              <w:bottom w:w="0" w:type="dxa"/>
              <w:right w:w="108" w:type="dxa"/>
            </w:tcMar>
            <w:hideMark/>
          </w:tcPr>
          <w:p w14:paraId="4276506A" w14:textId="77777777" w:rsidR="00D849C6" w:rsidRPr="001D27C6" w:rsidRDefault="00D849C6" w:rsidP="00D849C6">
            <w:pPr>
              <w:rPr>
                <w:rFonts w:cstheme="minorHAnsi"/>
                <w:i/>
                <w:iCs/>
                <w:sz w:val="20"/>
                <w:szCs w:val="20"/>
              </w:rPr>
            </w:pPr>
          </w:p>
          <w:p w14:paraId="4FF7C707" w14:textId="77777777" w:rsidR="00D849C6" w:rsidRPr="001D27C6" w:rsidRDefault="00D849C6" w:rsidP="00D849C6">
            <w:pPr>
              <w:rPr>
                <w:rFonts w:cstheme="minorHAnsi"/>
                <w:i/>
                <w:iCs/>
                <w:sz w:val="20"/>
                <w:szCs w:val="20"/>
              </w:rPr>
            </w:pPr>
            <w:r w:rsidRPr="001D27C6">
              <w:rPr>
                <w:rFonts w:cstheme="minorHAnsi"/>
                <w:i/>
                <w:iCs/>
                <w:sz w:val="20"/>
                <w:szCs w:val="20"/>
              </w:rPr>
              <w:t>[Insert end of the Gas Year of capacity request. That date cannot lay beyond the end of Gas Year 2044 -2045]</w:t>
            </w:r>
          </w:p>
        </w:tc>
        <w:tc>
          <w:tcPr>
            <w:tcW w:w="987" w:type="pct"/>
            <w:tcBorders>
              <w:top w:val="nil"/>
              <w:left w:val="nil"/>
              <w:bottom w:val="nil"/>
              <w:right w:val="single" w:sz="8" w:space="0" w:color="auto"/>
            </w:tcBorders>
            <w:tcMar>
              <w:top w:w="0" w:type="dxa"/>
              <w:left w:w="108" w:type="dxa"/>
              <w:bottom w:w="0" w:type="dxa"/>
              <w:right w:w="108" w:type="dxa"/>
            </w:tcMar>
          </w:tcPr>
          <w:p w14:paraId="6F9B2D2F" w14:textId="77777777" w:rsidR="00D849C6" w:rsidRPr="001D27C6" w:rsidRDefault="00D849C6" w:rsidP="00D849C6">
            <w:pPr>
              <w:rPr>
                <w:rFonts w:cstheme="minorHAnsi"/>
                <w:b/>
                <w:iCs/>
                <w:color w:val="0070C0"/>
                <w:sz w:val="20"/>
                <w:szCs w:val="20"/>
              </w:rPr>
            </w:pPr>
            <w:r w:rsidRPr="001D27C6">
              <w:rPr>
                <w:rFonts w:cstheme="minorHAnsi"/>
                <w:b/>
                <w:iCs/>
                <w:color w:val="0070C0"/>
                <w:sz w:val="20"/>
                <w:szCs w:val="20"/>
              </w:rPr>
              <w:t xml:space="preserve">[Yes/No] </w:t>
            </w:r>
          </w:p>
          <w:p w14:paraId="2F215584" w14:textId="77777777" w:rsidR="00D849C6" w:rsidRPr="001D27C6" w:rsidRDefault="00D849C6" w:rsidP="00D849C6">
            <w:pPr>
              <w:spacing w:after="0"/>
              <w:rPr>
                <w:rFonts w:cstheme="minorHAnsi"/>
                <w:i/>
                <w:iCs/>
                <w:sz w:val="20"/>
                <w:szCs w:val="20"/>
              </w:rPr>
            </w:pPr>
            <w:r w:rsidRPr="001D27C6">
              <w:rPr>
                <w:rFonts w:cstheme="minorHAnsi"/>
                <w:sz w:val="20"/>
                <w:szCs w:val="20"/>
              </w:rPr>
              <w:t>[</w:t>
            </w:r>
            <w:r w:rsidRPr="001D27C6">
              <w:rPr>
                <w:rFonts w:cstheme="minorHAnsi"/>
                <w:i/>
                <w:iCs/>
                <w:sz w:val="20"/>
                <w:szCs w:val="20"/>
              </w:rPr>
              <w:t>Delete as appropriate. </w:t>
            </w:r>
          </w:p>
          <w:p w14:paraId="2CDA8318" w14:textId="46EFC603" w:rsidR="00D849C6" w:rsidRPr="001D27C6" w:rsidRDefault="00D849C6" w:rsidP="00D849C6">
            <w:pPr>
              <w:spacing w:after="0"/>
              <w:rPr>
                <w:rFonts w:cstheme="minorHAnsi"/>
                <w:sz w:val="20"/>
                <w:szCs w:val="20"/>
              </w:rPr>
            </w:pPr>
            <w:r w:rsidRPr="001D27C6">
              <w:rPr>
                <w:rFonts w:cstheme="minorHAnsi"/>
                <w:i/>
                <w:iCs/>
                <w:sz w:val="20"/>
                <w:szCs w:val="20"/>
              </w:rPr>
              <w:t xml:space="preserve">If yes, please set out </w:t>
            </w:r>
            <w:r w:rsidR="005840DB">
              <w:rPr>
                <w:rFonts w:cstheme="minorHAnsi"/>
                <w:i/>
                <w:iCs/>
                <w:sz w:val="20"/>
                <w:szCs w:val="20"/>
              </w:rPr>
              <w:t xml:space="preserve">minimum </w:t>
            </w:r>
            <w:r w:rsidRPr="001D27C6">
              <w:rPr>
                <w:rFonts w:cstheme="minorHAnsi"/>
                <w:i/>
                <w:iCs/>
                <w:sz w:val="20"/>
                <w:szCs w:val="20"/>
              </w:rPr>
              <w:t>acceptable</w:t>
            </w:r>
            <w:r w:rsidR="005840DB">
              <w:rPr>
                <w:rFonts w:cstheme="minorHAnsi"/>
                <w:i/>
                <w:iCs/>
                <w:sz w:val="20"/>
                <w:szCs w:val="20"/>
              </w:rPr>
              <w:t xml:space="preserve"> capacity</w:t>
            </w:r>
            <w:r w:rsidRPr="001D27C6">
              <w:rPr>
                <w:rFonts w:cstheme="minorHAnsi"/>
                <w:sz w:val="20"/>
                <w:szCs w:val="20"/>
              </w:rPr>
              <w:t>]</w:t>
            </w:r>
          </w:p>
          <w:p w14:paraId="55E3F6E6" w14:textId="77777777" w:rsidR="00D849C6" w:rsidRPr="001D27C6" w:rsidRDefault="00D849C6" w:rsidP="00D849C6">
            <w:pPr>
              <w:jc w:val="both"/>
              <w:rPr>
                <w:rFonts w:cstheme="minorHAnsi"/>
                <w:i/>
                <w:iCs/>
                <w:sz w:val="20"/>
                <w:szCs w:val="20"/>
              </w:rPr>
            </w:pPr>
          </w:p>
        </w:tc>
      </w:tr>
      <w:tr w:rsidR="00D849C6" w:rsidRPr="001D27C6" w14:paraId="3A275597" w14:textId="77777777" w:rsidTr="00D849C6">
        <w:trPr>
          <w:jc w:val="center"/>
        </w:trPr>
        <w:tc>
          <w:tcPr>
            <w:tcW w:w="136" w:type="pct"/>
            <w:tcBorders>
              <w:top w:val="nil"/>
              <w:left w:val="single" w:sz="8" w:space="0" w:color="auto"/>
              <w:bottom w:val="single" w:sz="8" w:space="0" w:color="auto"/>
              <w:right w:val="single" w:sz="8" w:space="0" w:color="auto"/>
            </w:tcBorders>
          </w:tcPr>
          <w:p w14:paraId="4B22A260" w14:textId="77777777" w:rsidR="00D849C6" w:rsidRPr="001D27C6" w:rsidRDefault="00D849C6" w:rsidP="00D849C6">
            <w:pPr>
              <w:rPr>
                <w:rFonts w:cstheme="minorHAnsi"/>
                <w:b/>
                <w:iCs/>
                <w:color w:val="0070C0"/>
                <w:sz w:val="20"/>
                <w:szCs w:val="20"/>
              </w:rPr>
            </w:pPr>
          </w:p>
        </w:tc>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ABC20E8" w14:textId="22136B98" w:rsidR="00D849C6" w:rsidRPr="001D27C6" w:rsidRDefault="00D849C6" w:rsidP="00D849C6">
            <w:pPr>
              <w:rPr>
                <w:rFonts w:cstheme="minorHAnsi"/>
                <w:b/>
                <w:iCs/>
                <w:color w:val="0070C0"/>
                <w:sz w:val="20"/>
                <w:szCs w:val="20"/>
              </w:rPr>
            </w:pPr>
          </w:p>
        </w:tc>
        <w:tc>
          <w:tcPr>
            <w:tcW w:w="1043" w:type="pct"/>
            <w:tcBorders>
              <w:top w:val="nil"/>
              <w:left w:val="nil"/>
              <w:bottom w:val="single" w:sz="8" w:space="0" w:color="auto"/>
              <w:right w:val="single" w:sz="8" w:space="0" w:color="auto"/>
            </w:tcBorders>
            <w:tcMar>
              <w:top w:w="0" w:type="dxa"/>
              <w:left w:w="108" w:type="dxa"/>
              <w:bottom w:w="0" w:type="dxa"/>
              <w:right w:w="108" w:type="dxa"/>
            </w:tcMar>
          </w:tcPr>
          <w:p w14:paraId="6E472A90" w14:textId="77777777" w:rsidR="00D849C6" w:rsidRPr="001D27C6" w:rsidRDefault="00D849C6" w:rsidP="00D849C6">
            <w:pPr>
              <w:jc w:val="both"/>
              <w:rPr>
                <w:rFonts w:cstheme="minorHAnsi"/>
                <w:i/>
                <w:iCs/>
                <w:sz w:val="20"/>
                <w:szCs w:val="20"/>
              </w:rPr>
            </w:pPr>
          </w:p>
        </w:tc>
        <w:tc>
          <w:tcPr>
            <w:tcW w:w="1129" w:type="pct"/>
            <w:tcBorders>
              <w:top w:val="nil"/>
              <w:left w:val="nil"/>
              <w:bottom w:val="single" w:sz="8" w:space="0" w:color="auto"/>
              <w:right w:val="single" w:sz="8" w:space="0" w:color="auto"/>
            </w:tcBorders>
            <w:tcMar>
              <w:top w:w="0" w:type="dxa"/>
              <w:left w:w="108" w:type="dxa"/>
              <w:bottom w:w="0" w:type="dxa"/>
              <w:right w:w="108" w:type="dxa"/>
            </w:tcMar>
          </w:tcPr>
          <w:p w14:paraId="3B38BEB0" w14:textId="77777777" w:rsidR="00D849C6" w:rsidRPr="001D27C6" w:rsidRDefault="00D849C6" w:rsidP="00D849C6">
            <w:pPr>
              <w:rPr>
                <w:rFonts w:cstheme="minorHAnsi"/>
                <w:i/>
                <w:iCs/>
                <w:sz w:val="20"/>
                <w:szCs w:val="20"/>
              </w:rPr>
            </w:pPr>
          </w:p>
        </w:tc>
        <w:tc>
          <w:tcPr>
            <w:tcW w:w="707" w:type="pct"/>
            <w:tcBorders>
              <w:top w:val="nil"/>
              <w:left w:val="nil"/>
              <w:bottom w:val="single" w:sz="8" w:space="0" w:color="auto"/>
              <w:right w:val="single" w:sz="8" w:space="0" w:color="auto"/>
            </w:tcBorders>
            <w:tcMar>
              <w:top w:w="0" w:type="dxa"/>
              <w:left w:w="108" w:type="dxa"/>
              <w:bottom w:w="0" w:type="dxa"/>
              <w:right w:w="108" w:type="dxa"/>
            </w:tcMar>
          </w:tcPr>
          <w:p w14:paraId="0AF840D4" w14:textId="77777777" w:rsidR="00D849C6" w:rsidRPr="001D27C6" w:rsidRDefault="00D849C6" w:rsidP="00D849C6">
            <w:pPr>
              <w:rPr>
                <w:rFonts w:cstheme="minorHAnsi"/>
                <w:i/>
                <w:iCs/>
                <w:sz w:val="20"/>
                <w:szCs w:val="20"/>
              </w:rPr>
            </w:pPr>
          </w:p>
        </w:tc>
        <w:tc>
          <w:tcPr>
            <w:tcW w:w="987" w:type="pct"/>
            <w:tcBorders>
              <w:top w:val="nil"/>
              <w:left w:val="nil"/>
              <w:bottom w:val="single" w:sz="8" w:space="0" w:color="auto"/>
              <w:right w:val="single" w:sz="8" w:space="0" w:color="auto"/>
            </w:tcBorders>
            <w:tcMar>
              <w:top w:w="0" w:type="dxa"/>
              <w:left w:w="108" w:type="dxa"/>
              <w:bottom w:w="0" w:type="dxa"/>
              <w:right w:w="108" w:type="dxa"/>
            </w:tcMar>
          </w:tcPr>
          <w:p w14:paraId="70DBC527" w14:textId="77777777" w:rsidR="00D849C6" w:rsidRPr="001D27C6" w:rsidRDefault="00D849C6" w:rsidP="00D849C6">
            <w:pPr>
              <w:rPr>
                <w:rFonts w:cstheme="minorHAnsi"/>
                <w:b/>
                <w:iCs/>
                <w:color w:val="0070C0"/>
                <w:sz w:val="20"/>
                <w:szCs w:val="20"/>
              </w:rPr>
            </w:pPr>
          </w:p>
        </w:tc>
      </w:tr>
      <w:tr w:rsidR="00D849C6" w:rsidRPr="001D27C6" w14:paraId="421A8FA7" w14:textId="77777777" w:rsidTr="00D849C6">
        <w:trPr>
          <w:jc w:val="center"/>
        </w:trPr>
        <w:tc>
          <w:tcPr>
            <w:tcW w:w="136" w:type="pct"/>
            <w:tcBorders>
              <w:top w:val="nil"/>
              <w:left w:val="single" w:sz="8" w:space="0" w:color="auto"/>
              <w:bottom w:val="single" w:sz="8" w:space="0" w:color="auto"/>
              <w:right w:val="single" w:sz="8" w:space="0" w:color="auto"/>
            </w:tcBorders>
          </w:tcPr>
          <w:p w14:paraId="120B5567" w14:textId="77777777" w:rsidR="00D849C6" w:rsidRPr="001D27C6" w:rsidRDefault="00D849C6" w:rsidP="00D849C6">
            <w:pPr>
              <w:rPr>
                <w:rFonts w:cstheme="minorHAnsi"/>
                <w:b/>
                <w:iCs/>
                <w:color w:val="0070C0"/>
                <w:sz w:val="20"/>
                <w:szCs w:val="20"/>
              </w:rPr>
            </w:pPr>
            <w:r w:rsidRPr="001D27C6">
              <w:rPr>
                <w:rFonts w:cstheme="minorHAnsi"/>
                <w:b/>
                <w:iCs/>
                <w:color w:val="0070C0"/>
                <w:sz w:val="20"/>
                <w:szCs w:val="20"/>
              </w:rPr>
              <w:t>2.</w:t>
            </w:r>
          </w:p>
        </w:tc>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7D81833" w14:textId="758936C9" w:rsidR="00D849C6" w:rsidRPr="001D27C6" w:rsidRDefault="00D849C6" w:rsidP="00D849C6">
            <w:pPr>
              <w:rPr>
                <w:rFonts w:cstheme="minorHAnsi"/>
                <w:b/>
                <w:iCs/>
                <w:color w:val="0070C0"/>
                <w:sz w:val="20"/>
                <w:szCs w:val="20"/>
              </w:rPr>
            </w:pPr>
          </w:p>
        </w:tc>
        <w:tc>
          <w:tcPr>
            <w:tcW w:w="1043" w:type="pct"/>
            <w:tcBorders>
              <w:top w:val="nil"/>
              <w:left w:val="nil"/>
              <w:bottom w:val="single" w:sz="8" w:space="0" w:color="auto"/>
              <w:right w:val="single" w:sz="8" w:space="0" w:color="auto"/>
            </w:tcBorders>
            <w:tcMar>
              <w:top w:w="0" w:type="dxa"/>
              <w:left w:w="108" w:type="dxa"/>
              <w:bottom w:w="0" w:type="dxa"/>
              <w:right w:w="108" w:type="dxa"/>
            </w:tcMar>
          </w:tcPr>
          <w:p w14:paraId="182536D2" w14:textId="77777777" w:rsidR="00D849C6" w:rsidRPr="001D27C6" w:rsidRDefault="00D849C6" w:rsidP="00D849C6">
            <w:pPr>
              <w:jc w:val="both"/>
              <w:rPr>
                <w:rFonts w:cstheme="minorHAnsi"/>
                <w:i/>
                <w:iCs/>
                <w:sz w:val="20"/>
                <w:szCs w:val="20"/>
              </w:rPr>
            </w:pPr>
          </w:p>
        </w:tc>
        <w:tc>
          <w:tcPr>
            <w:tcW w:w="1129" w:type="pct"/>
            <w:tcBorders>
              <w:top w:val="nil"/>
              <w:left w:val="nil"/>
              <w:bottom w:val="single" w:sz="8" w:space="0" w:color="auto"/>
              <w:right w:val="single" w:sz="8" w:space="0" w:color="auto"/>
            </w:tcBorders>
            <w:tcMar>
              <w:top w:w="0" w:type="dxa"/>
              <w:left w:w="108" w:type="dxa"/>
              <w:bottom w:w="0" w:type="dxa"/>
              <w:right w:w="108" w:type="dxa"/>
            </w:tcMar>
          </w:tcPr>
          <w:p w14:paraId="66B4C50B" w14:textId="77777777" w:rsidR="00D849C6" w:rsidRPr="001D27C6" w:rsidRDefault="00D849C6" w:rsidP="00D849C6">
            <w:pPr>
              <w:rPr>
                <w:rFonts w:cstheme="minorHAnsi"/>
                <w:i/>
                <w:iCs/>
                <w:sz w:val="20"/>
                <w:szCs w:val="20"/>
              </w:rPr>
            </w:pPr>
          </w:p>
        </w:tc>
        <w:tc>
          <w:tcPr>
            <w:tcW w:w="707" w:type="pct"/>
            <w:tcBorders>
              <w:top w:val="nil"/>
              <w:left w:val="nil"/>
              <w:bottom w:val="single" w:sz="8" w:space="0" w:color="auto"/>
              <w:right w:val="single" w:sz="8" w:space="0" w:color="auto"/>
            </w:tcBorders>
            <w:tcMar>
              <w:top w:w="0" w:type="dxa"/>
              <w:left w:w="108" w:type="dxa"/>
              <w:bottom w:w="0" w:type="dxa"/>
              <w:right w:w="108" w:type="dxa"/>
            </w:tcMar>
          </w:tcPr>
          <w:p w14:paraId="3FF81E06" w14:textId="77777777" w:rsidR="00D849C6" w:rsidRPr="001D27C6" w:rsidRDefault="00D849C6" w:rsidP="00D849C6">
            <w:pPr>
              <w:rPr>
                <w:rFonts w:cstheme="minorHAnsi"/>
                <w:i/>
                <w:iCs/>
                <w:sz w:val="20"/>
                <w:szCs w:val="20"/>
              </w:rPr>
            </w:pPr>
          </w:p>
        </w:tc>
        <w:tc>
          <w:tcPr>
            <w:tcW w:w="987" w:type="pct"/>
            <w:tcBorders>
              <w:top w:val="nil"/>
              <w:left w:val="nil"/>
              <w:bottom w:val="single" w:sz="8" w:space="0" w:color="auto"/>
              <w:right w:val="single" w:sz="8" w:space="0" w:color="auto"/>
            </w:tcBorders>
            <w:tcMar>
              <w:top w:w="0" w:type="dxa"/>
              <w:left w:w="108" w:type="dxa"/>
              <w:bottom w:w="0" w:type="dxa"/>
              <w:right w:w="108" w:type="dxa"/>
            </w:tcMar>
          </w:tcPr>
          <w:p w14:paraId="2CA49CA7" w14:textId="77777777" w:rsidR="00D849C6" w:rsidRPr="001D27C6" w:rsidRDefault="00D849C6" w:rsidP="00D849C6">
            <w:pPr>
              <w:rPr>
                <w:rFonts w:cstheme="minorHAnsi"/>
                <w:b/>
                <w:iCs/>
                <w:color w:val="0070C0"/>
                <w:sz w:val="20"/>
                <w:szCs w:val="20"/>
              </w:rPr>
            </w:pPr>
          </w:p>
        </w:tc>
      </w:tr>
      <w:tr w:rsidR="00D849C6" w:rsidRPr="001D27C6" w14:paraId="5B0C30EA" w14:textId="77777777" w:rsidTr="00D849C6">
        <w:trPr>
          <w:jc w:val="center"/>
        </w:trPr>
        <w:tc>
          <w:tcPr>
            <w:tcW w:w="136" w:type="pct"/>
            <w:tcBorders>
              <w:top w:val="nil"/>
              <w:left w:val="single" w:sz="8" w:space="0" w:color="auto"/>
              <w:bottom w:val="single" w:sz="8" w:space="0" w:color="auto"/>
              <w:right w:val="single" w:sz="8" w:space="0" w:color="auto"/>
            </w:tcBorders>
          </w:tcPr>
          <w:p w14:paraId="1005E378" w14:textId="77777777" w:rsidR="00D849C6" w:rsidRPr="001D27C6" w:rsidRDefault="00D849C6" w:rsidP="00D849C6">
            <w:pPr>
              <w:rPr>
                <w:rFonts w:cstheme="minorHAnsi"/>
                <w:b/>
                <w:iCs/>
                <w:color w:val="0070C0"/>
                <w:sz w:val="20"/>
                <w:szCs w:val="20"/>
              </w:rPr>
            </w:pPr>
            <w:r w:rsidRPr="001D27C6">
              <w:rPr>
                <w:rFonts w:cstheme="minorHAnsi"/>
                <w:b/>
                <w:iCs/>
                <w:color w:val="0070C0"/>
                <w:sz w:val="20"/>
                <w:szCs w:val="20"/>
              </w:rPr>
              <w:t>3.</w:t>
            </w:r>
          </w:p>
        </w:tc>
        <w:tc>
          <w:tcPr>
            <w:tcW w:w="998"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CF4385A" w14:textId="77777777" w:rsidR="00D849C6" w:rsidRPr="001D27C6" w:rsidRDefault="00D849C6" w:rsidP="00D849C6">
            <w:pPr>
              <w:rPr>
                <w:rFonts w:cstheme="minorHAnsi"/>
                <w:b/>
                <w:iCs/>
                <w:color w:val="0070C0"/>
                <w:sz w:val="20"/>
                <w:szCs w:val="20"/>
              </w:rPr>
            </w:pPr>
          </w:p>
        </w:tc>
        <w:tc>
          <w:tcPr>
            <w:tcW w:w="1043" w:type="pct"/>
            <w:tcBorders>
              <w:top w:val="nil"/>
              <w:left w:val="nil"/>
              <w:bottom w:val="single" w:sz="8" w:space="0" w:color="auto"/>
              <w:right w:val="single" w:sz="8" w:space="0" w:color="auto"/>
            </w:tcBorders>
            <w:tcMar>
              <w:top w:w="0" w:type="dxa"/>
              <w:left w:w="108" w:type="dxa"/>
              <w:bottom w:w="0" w:type="dxa"/>
              <w:right w:w="108" w:type="dxa"/>
            </w:tcMar>
          </w:tcPr>
          <w:p w14:paraId="5022B2A8" w14:textId="77777777" w:rsidR="00D849C6" w:rsidRPr="001D27C6" w:rsidRDefault="00D849C6" w:rsidP="00D849C6">
            <w:pPr>
              <w:jc w:val="both"/>
              <w:rPr>
                <w:rFonts w:cstheme="minorHAnsi"/>
                <w:i/>
                <w:iCs/>
                <w:sz w:val="20"/>
                <w:szCs w:val="20"/>
              </w:rPr>
            </w:pPr>
          </w:p>
        </w:tc>
        <w:tc>
          <w:tcPr>
            <w:tcW w:w="1129" w:type="pct"/>
            <w:tcBorders>
              <w:top w:val="nil"/>
              <w:left w:val="nil"/>
              <w:bottom w:val="single" w:sz="8" w:space="0" w:color="auto"/>
              <w:right w:val="single" w:sz="8" w:space="0" w:color="auto"/>
            </w:tcBorders>
            <w:tcMar>
              <w:top w:w="0" w:type="dxa"/>
              <w:left w:w="108" w:type="dxa"/>
              <w:bottom w:w="0" w:type="dxa"/>
              <w:right w:w="108" w:type="dxa"/>
            </w:tcMar>
          </w:tcPr>
          <w:p w14:paraId="5E2CA854" w14:textId="77777777" w:rsidR="00D849C6" w:rsidRPr="001D27C6" w:rsidRDefault="00D849C6" w:rsidP="00D849C6">
            <w:pPr>
              <w:rPr>
                <w:rFonts w:cstheme="minorHAnsi"/>
                <w:i/>
                <w:iCs/>
                <w:sz w:val="20"/>
                <w:szCs w:val="20"/>
              </w:rPr>
            </w:pPr>
          </w:p>
        </w:tc>
        <w:tc>
          <w:tcPr>
            <w:tcW w:w="707" w:type="pct"/>
            <w:tcBorders>
              <w:top w:val="nil"/>
              <w:left w:val="nil"/>
              <w:bottom w:val="single" w:sz="8" w:space="0" w:color="auto"/>
              <w:right w:val="single" w:sz="8" w:space="0" w:color="auto"/>
            </w:tcBorders>
            <w:tcMar>
              <w:top w:w="0" w:type="dxa"/>
              <w:left w:w="108" w:type="dxa"/>
              <w:bottom w:w="0" w:type="dxa"/>
              <w:right w:w="108" w:type="dxa"/>
            </w:tcMar>
          </w:tcPr>
          <w:p w14:paraId="72427B6D" w14:textId="77777777" w:rsidR="00D849C6" w:rsidRPr="001D27C6" w:rsidRDefault="00D849C6" w:rsidP="00D849C6">
            <w:pPr>
              <w:rPr>
                <w:rFonts w:cstheme="minorHAnsi"/>
                <w:i/>
                <w:iCs/>
                <w:sz w:val="20"/>
                <w:szCs w:val="20"/>
              </w:rPr>
            </w:pPr>
          </w:p>
        </w:tc>
        <w:tc>
          <w:tcPr>
            <w:tcW w:w="987" w:type="pct"/>
            <w:tcBorders>
              <w:top w:val="nil"/>
              <w:left w:val="nil"/>
              <w:bottom w:val="single" w:sz="8" w:space="0" w:color="auto"/>
              <w:right w:val="single" w:sz="8" w:space="0" w:color="auto"/>
            </w:tcBorders>
            <w:tcMar>
              <w:top w:w="0" w:type="dxa"/>
              <w:left w:w="108" w:type="dxa"/>
              <w:bottom w:w="0" w:type="dxa"/>
              <w:right w:w="108" w:type="dxa"/>
            </w:tcMar>
          </w:tcPr>
          <w:p w14:paraId="7B85E76D" w14:textId="77777777" w:rsidR="00D849C6" w:rsidRPr="001D27C6" w:rsidRDefault="00D849C6" w:rsidP="00D849C6">
            <w:pPr>
              <w:rPr>
                <w:rFonts w:cstheme="minorHAnsi"/>
                <w:b/>
                <w:iCs/>
                <w:color w:val="0070C0"/>
                <w:sz w:val="20"/>
                <w:szCs w:val="20"/>
              </w:rPr>
            </w:pPr>
          </w:p>
        </w:tc>
      </w:tr>
    </w:tbl>
    <w:p w14:paraId="7DBD65A2" w14:textId="3B7EFCF7" w:rsidR="00D849C6" w:rsidRDefault="00D849C6" w:rsidP="007B52CF">
      <w:pPr>
        <w:jc w:val="both"/>
        <w:rPr>
          <w:rFonts w:cstheme="minorHAnsi"/>
          <w:i/>
        </w:rPr>
      </w:pPr>
      <w:r w:rsidRPr="001D27C6">
        <w:rPr>
          <w:rFonts w:cstheme="minorHAnsi"/>
          <w:i/>
        </w:rPr>
        <w:t xml:space="preserve">*As a basic rule, Participants may specify only one value of incremental capacity for all gas years requested, so only line one must be filled. A Binding Bid may however indicate a ramp-up over the first two years of the period to which the Binding Bid relates, with a minimum value for the first gas year of 40% of capacity and 70% for the second gas year. In such case Participants are requested to </w:t>
      </w:r>
      <w:proofErr w:type="gramStart"/>
      <w:r w:rsidRPr="001D27C6">
        <w:rPr>
          <w:rFonts w:cstheme="minorHAnsi"/>
          <w:i/>
        </w:rPr>
        <w:t>fill also</w:t>
      </w:r>
      <w:proofErr w:type="gramEnd"/>
      <w:r w:rsidRPr="001D27C6">
        <w:rPr>
          <w:rFonts w:cstheme="minorHAnsi"/>
          <w:i/>
        </w:rPr>
        <w:t xml:space="preserve"> lines two and three. Should Participants wish to profile their capacity request further, then they should submit separate Binding Bids.</w:t>
      </w:r>
      <w:r w:rsidR="006D53F8">
        <w:rPr>
          <w:rFonts w:cstheme="minorHAnsi"/>
          <w:i/>
        </w:rPr>
        <w:t xml:space="preserve"> In case the participan</w:t>
      </w:r>
      <w:r w:rsidR="00CA5144">
        <w:rPr>
          <w:rFonts w:cstheme="minorHAnsi"/>
          <w:i/>
        </w:rPr>
        <w:t xml:space="preserve">t </w:t>
      </w:r>
      <w:r w:rsidR="00C9298B">
        <w:rPr>
          <w:rFonts w:cstheme="minorHAnsi"/>
          <w:i/>
        </w:rPr>
        <w:t>request capacity in more than one direction then additional lines of the above table must be filled.</w:t>
      </w:r>
    </w:p>
    <w:p w14:paraId="11BB6B25" w14:textId="6FF7DD7B" w:rsidR="009B77AE" w:rsidRPr="006275C2" w:rsidRDefault="009B77AE" w:rsidP="007B52CF">
      <w:pPr>
        <w:jc w:val="both"/>
        <w:rPr>
          <w:rFonts w:cstheme="minorHAnsi"/>
          <w:i/>
        </w:rPr>
      </w:pPr>
      <w:r w:rsidRPr="003A3341">
        <w:rPr>
          <w:rFonts w:cstheme="minorHAnsi"/>
          <w:i/>
        </w:rPr>
        <w:t>**</w:t>
      </w:r>
      <w:r w:rsidR="006275C2">
        <w:rPr>
          <w:rFonts w:cstheme="minorHAnsi"/>
          <w:i/>
        </w:rPr>
        <w:t xml:space="preserve">It is noted that </w:t>
      </w:r>
      <w:r w:rsidR="0087103B">
        <w:rPr>
          <w:rFonts w:cstheme="minorHAnsi"/>
          <w:i/>
        </w:rPr>
        <w:t>capacity requests before the E-COD</w:t>
      </w:r>
      <w:r w:rsidR="0043259D">
        <w:rPr>
          <w:rFonts w:cstheme="minorHAnsi"/>
          <w:i/>
        </w:rPr>
        <w:t xml:space="preserve"> of the maximum offer level which </w:t>
      </w:r>
      <w:r w:rsidR="0063709E">
        <w:rPr>
          <w:rFonts w:cstheme="minorHAnsi"/>
          <w:i/>
        </w:rPr>
        <w:t>leads to a positive Market Test will be curtailed accordingly.</w:t>
      </w:r>
    </w:p>
    <w:p w14:paraId="6CBAA20D" w14:textId="781974B9" w:rsidR="00B476E3" w:rsidRPr="006D53F8" w:rsidRDefault="00B476E3" w:rsidP="007B52CF">
      <w:pPr>
        <w:jc w:val="both"/>
        <w:rPr>
          <w:rFonts w:cstheme="minorHAnsi"/>
          <w:i/>
          <w:sz w:val="24"/>
          <w:szCs w:val="24"/>
        </w:rPr>
      </w:pPr>
    </w:p>
    <w:p w14:paraId="65F0F5E1" w14:textId="77777777" w:rsidR="00D849C6" w:rsidRPr="001D27C6" w:rsidRDefault="00D849C6" w:rsidP="00D849C6">
      <w:pPr>
        <w:rPr>
          <w:rFonts w:cstheme="minorHAnsi"/>
          <w:sz w:val="24"/>
          <w:szCs w:val="24"/>
        </w:rPr>
      </w:pPr>
    </w:p>
    <w:p w14:paraId="6815A6A8" w14:textId="77777777" w:rsidR="00D849C6" w:rsidRPr="001D27C6" w:rsidRDefault="00D849C6" w:rsidP="00D849C6">
      <w:pPr>
        <w:rPr>
          <w:rFonts w:cstheme="minorHAnsi"/>
        </w:rPr>
      </w:pPr>
      <w:r w:rsidRPr="001D27C6">
        <w:rPr>
          <w:rFonts w:cstheme="minorHAnsi"/>
        </w:rPr>
        <w:t xml:space="preserve">[Place / date] </w:t>
      </w:r>
      <w:r w:rsidRPr="001D27C6">
        <w:rPr>
          <w:rFonts w:cstheme="minorHAnsi"/>
        </w:rPr>
        <w:tab/>
      </w:r>
      <w:r w:rsidRPr="001D27C6">
        <w:rPr>
          <w:rFonts w:cstheme="minorHAnsi"/>
        </w:rPr>
        <w:tab/>
      </w:r>
      <w:r w:rsidRPr="001D27C6">
        <w:rPr>
          <w:rFonts w:cstheme="minorHAnsi"/>
        </w:rPr>
        <w:tab/>
      </w:r>
      <w:r w:rsidRPr="001D27C6">
        <w:rPr>
          <w:rFonts w:cstheme="minorHAnsi"/>
        </w:rPr>
        <w:tab/>
      </w:r>
      <w:r w:rsidRPr="001D27C6">
        <w:rPr>
          <w:rFonts w:cstheme="minorHAnsi"/>
        </w:rPr>
        <w:tab/>
      </w:r>
      <w:r w:rsidRPr="001D27C6">
        <w:rPr>
          <w:rFonts w:cstheme="minorHAnsi"/>
        </w:rPr>
        <w:tab/>
      </w:r>
      <w:r w:rsidRPr="001D27C6">
        <w:rPr>
          <w:rFonts w:cstheme="minorHAnsi"/>
        </w:rPr>
        <w:tab/>
        <w:t xml:space="preserve">[Stamp </w:t>
      </w:r>
      <w:r w:rsidR="00F714C9">
        <w:rPr>
          <w:rFonts w:cstheme="minorHAnsi"/>
        </w:rPr>
        <w:t xml:space="preserve">of the Company </w:t>
      </w:r>
      <w:r w:rsidRPr="001D27C6">
        <w:rPr>
          <w:rFonts w:cstheme="minorHAnsi"/>
        </w:rPr>
        <w:t>and Signature]</w:t>
      </w:r>
    </w:p>
    <w:p w14:paraId="21A766C8" w14:textId="77777777" w:rsidR="004D6EE4" w:rsidRPr="001D27C6" w:rsidRDefault="004D6EE4">
      <w:pPr>
        <w:rPr>
          <w:rFonts w:cstheme="minorHAnsi"/>
        </w:rPr>
      </w:pPr>
      <w:r w:rsidRPr="001D27C6">
        <w:rPr>
          <w:rFonts w:cstheme="minorHAnsi"/>
        </w:rPr>
        <w:br w:type="page"/>
      </w:r>
    </w:p>
    <w:p w14:paraId="2E1EC1C7" w14:textId="77777777" w:rsidR="00D849C6" w:rsidRPr="000E44F5" w:rsidRDefault="00D849C6" w:rsidP="000E44F5">
      <w:pPr>
        <w:pStyle w:val="Heading3"/>
        <w:pBdr>
          <w:bottom w:val="single" w:sz="4" w:space="1" w:color="auto"/>
        </w:pBdr>
        <w:rPr>
          <w:sz w:val="36"/>
          <w:szCs w:val="36"/>
        </w:rPr>
      </w:pPr>
      <w:bookmarkStart w:id="73" w:name="_Toc119485267"/>
      <w:r w:rsidRPr="000E44F5">
        <w:rPr>
          <w:sz w:val="36"/>
          <w:szCs w:val="36"/>
        </w:rPr>
        <w:lastRenderedPageBreak/>
        <w:t xml:space="preserve">Annex III </w:t>
      </w:r>
      <w:r w:rsidR="005C5D58">
        <w:rPr>
          <w:sz w:val="36"/>
          <w:szCs w:val="36"/>
        </w:rPr>
        <w:t xml:space="preserve">- </w:t>
      </w:r>
      <w:r w:rsidRPr="000E44F5">
        <w:rPr>
          <w:sz w:val="36"/>
          <w:szCs w:val="36"/>
        </w:rPr>
        <w:t>Binding Bid Guarantee Form</w:t>
      </w:r>
      <w:bookmarkEnd w:id="73"/>
    </w:p>
    <w:p w14:paraId="6CFCAED4" w14:textId="77777777" w:rsidR="00D849C6" w:rsidRPr="001D27C6" w:rsidRDefault="00D849C6" w:rsidP="00D849C6">
      <w:pPr>
        <w:rPr>
          <w:rFonts w:cstheme="minorHAnsi"/>
        </w:rPr>
      </w:pPr>
    </w:p>
    <w:p w14:paraId="34CBFC6B" w14:textId="77777777" w:rsidR="00D849C6" w:rsidRPr="007B52CF" w:rsidRDefault="00D849C6" w:rsidP="00205698">
      <w:pPr>
        <w:ind w:right="-477"/>
        <w:jc w:val="both"/>
        <w:rPr>
          <w:rFonts w:cstheme="minorHAnsi"/>
          <w:szCs w:val="24"/>
        </w:rPr>
      </w:pPr>
      <w:r w:rsidRPr="007B52CF">
        <w:rPr>
          <w:rFonts w:cstheme="minorHAnsi"/>
          <w:szCs w:val="24"/>
        </w:rPr>
        <w:t>TO:</w:t>
      </w:r>
      <w:r w:rsidRPr="007B52CF">
        <w:rPr>
          <w:rFonts w:cstheme="minorHAnsi"/>
          <w:szCs w:val="24"/>
        </w:rPr>
        <w:tab/>
        <w:t>HELLENIC GAS TRANSMISSION SYSTEM OPERATOR (DESFA) S.A.</w:t>
      </w:r>
    </w:p>
    <w:p w14:paraId="109F6306" w14:textId="77777777" w:rsidR="00D849C6" w:rsidRPr="007B52CF" w:rsidRDefault="00D849C6" w:rsidP="00205698">
      <w:pPr>
        <w:ind w:right="-477"/>
        <w:jc w:val="both"/>
        <w:rPr>
          <w:rFonts w:cstheme="minorHAnsi"/>
          <w:szCs w:val="24"/>
        </w:rPr>
      </w:pPr>
      <w:r w:rsidRPr="007B52CF">
        <w:rPr>
          <w:rFonts w:cstheme="minorHAnsi"/>
          <w:szCs w:val="24"/>
        </w:rPr>
        <w:tab/>
        <w:t>357-359 MESSOGION AVE.</w:t>
      </w:r>
    </w:p>
    <w:p w14:paraId="4DA6A1F7" w14:textId="77777777" w:rsidR="00D849C6" w:rsidRPr="007B52CF" w:rsidRDefault="00D849C6" w:rsidP="00205698">
      <w:pPr>
        <w:ind w:right="-477"/>
        <w:jc w:val="both"/>
        <w:rPr>
          <w:rFonts w:cstheme="minorHAnsi"/>
          <w:szCs w:val="24"/>
        </w:rPr>
      </w:pPr>
      <w:r w:rsidRPr="007B52CF">
        <w:rPr>
          <w:rFonts w:cstheme="minorHAnsi"/>
          <w:szCs w:val="24"/>
        </w:rPr>
        <w:tab/>
        <w:t xml:space="preserve">152 31 HALANDRI </w:t>
      </w:r>
    </w:p>
    <w:p w14:paraId="0CA050D5" w14:textId="77777777" w:rsidR="00D849C6" w:rsidRPr="007B52CF" w:rsidRDefault="00D849C6" w:rsidP="00205698">
      <w:pPr>
        <w:ind w:right="-477"/>
        <w:jc w:val="both"/>
        <w:rPr>
          <w:rFonts w:cstheme="minorHAnsi"/>
          <w:szCs w:val="24"/>
        </w:rPr>
      </w:pPr>
      <w:r w:rsidRPr="007B52CF">
        <w:rPr>
          <w:rFonts w:cstheme="minorHAnsi"/>
          <w:szCs w:val="24"/>
        </w:rPr>
        <w:tab/>
        <w:t>GREECE</w:t>
      </w:r>
    </w:p>
    <w:p w14:paraId="7D49B585" w14:textId="77777777" w:rsidR="00D849C6" w:rsidRPr="007B52CF" w:rsidRDefault="00D849C6" w:rsidP="00205698">
      <w:pPr>
        <w:ind w:right="-477"/>
        <w:jc w:val="both"/>
        <w:rPr>
          <w:rFonts w:cstheme="minorHAnsi"/>
          <w:szCs w:val="24"/>
        </w:rPr>
      </w:pPr>
    </w:p>
    <w:p w14:paraId="0FC5ADB9" w14:textId="77777777" w:rsidR="00D849C6" w:rsidRPr="007B52CF" w:rsidRDefault="00D849C6" w:rsidP="00205698">
      <w:pPr>
        <w:ind w:right="-477"/>
        <w:jc w:val="both"/>
        <w:rPr>
          <w:rFonts w:cstheme="minorHAnsi"/>
          <w:szCs w:val="24"/>
        </w:rPr>
      </w:pPr>
      <w:r w:rsidRPr="007B52CF">
        <w:rPr>
          <w:rFonts w:cstheme="minorHAnsi"/>
          <w:szCs w:val="24"/>
        </w:rPr>
        <w:t>LETTER OF GUARANTEE No.</w:t>
      </w:r>
      <w:r w:rsidRPr="007B52CF">
        <w:rPr>
          <w:rFonts w:cstheme="minorHAnsi"/>
          <w:szCs w:val="24"/>
        </w:rPr>
        <w:tab/>
        <w:t>:</w:t>
      </w:r>
      <w:r w:rsidRPr="007B52CF">
        <w:rPr>
          <w:rFonts w:cstheme="minorHAnsi"/>
          <w:szCs w:val="24"/>
        </w:rPr>
        <w:tab/>
        <w:t>………………………………………………</w:t>
      </w:r>
      <w:proofErr w:type="gramStart"/>
      <w:r w:rsidRPr="007B52CF">
        <w:rPr>
          <w:rFonts w:cstheme="minorHAnsi"/>
          <w:szCs w:val="24"/>
        </w:rPr>
        <w:t>…..</w:t>
      </w:r>
      <w:proofErr w:type="gramEnd"/>
    </w:p>
    <w:p w14:paraId="2DA6562B" w14:textId="77777777" w:rsidR="00D849C6" w:rsidRPr="007B52CF" w:rsidRDefault="00D849C6" w:rsidP="00205698">
      <w:pPr>
        <w:ind w:right="-477"/>
        <w:jc w:val="both"/>
        <w:rPr>
          <w:rFonts w:cstheme="minorHAnsi"/>
          <w:szCs w:val="24"/>
        </w:rPr>
      </w:pPr>
      <w:r w:rsidRPr="007B52CF">
        <w:rPr>
          <w:rFonts w:cstheme="minorHAnsi"/>
          <w:szCs w:val="24"/>
        </w:rPr>
        <w:t>DATE</w:t>
      </w:r>
      <w:r w:rsidRPr="007B52CF">
        <w:rPr>
          <w:rFonts w:cstheme="minorHAnsi"/>
          <w:szCs w:val="24"/>
        </w:rPr>
        <w:tab/>
        <w:t>:</w:t>
      </w:r>
      <w:r w:rsidRPr="007B52CF">
        <w:rPr>
          <w:rFonts w:cstheme="minorHAnsi"/>
          <w:szCs w:val="24"/>
        </w:rPr>
        <w:tab/>
        <w:t>……………………………………………………</w:t>
      </w:r>
    </w:p>
    <w:p w14:paraId="61447FCB" w14:textId="77777777" w:rsidR="00D849C6" w:rsidRPr="007B52CF" w:rsidRDefault="00D849C6" w:rsidP="00205698">
      <w:pPr>
        <w:ind w:right="-477"/>
        <w:jc w:val="both"/>
        <w:rPr>
          <w:rFonts w:cstheme="minorHAnsi"/>
          <w:szCs w:val="24"/>
        </w:rPr>
      </w:pPr>
    </w:p>
    <w:p w14:paraId="1BE77639" w14:textId="77777777" w:rsidR="00D849C6" w:rsidRPr="007B52CF" w:rsidRDefault="00D849C6" w:rsidP="00205698">
      <w:pPr>
        <w:ind w:right="-477"/>
        <w:jc w:val="both"/>
        <w:rPr>
          <w:rFonts w:cstheme="minorHAnsi"/>
          <w:szCs w:val="24"/>
        </w:rPr>
      </w:pPr>
      <w:r w:rsidRPr="007B52CF">
        <w:rPr>
          <w:rFonts w:cstheme="minorHAnsi"/>
          <w:szCs w:val="24"/>
        </w:rPr>
        <w:t>Dear Sirs,</w:t>
      </w:r>
    </w:p>
    <w:p w14:paraId="19AF3CA1" w14:textId="77777777" w:rsidR="00D849C6" w:rsidRPr="007B52CF" w:rsidRDefault="00D849C6" w:rsidP="00205698">
      <w:pPr>
        <w:ind w:right="-477"/>
        <w:jc w:val="both"/>
        <w:rPr>
          <w:rFonts w:cstheme="minorHAnsi"/>
          <w:szCs w:val="24"/>
        </w:rPr>
      </w:pPr>
    </w:p>
    <w:p w14:paraId="72B5B0BF" w14:textId="778C3A07" w:rsidR="00D849C6" w:rsidRPr="007B52CF" w:rsidRDefault="00D849C6" w:rsidP="00205698">
      <w:pPr>
        <w:ind w:right="-477"/>
        <w:jc w:val="both"/>
        <w:rPr>
          <w:rFonts w:cstheme="minorHAnsi"/>
          <w:szCs w:val="24"/>
        </w:rPr>
      </w:pPr>
      <w:r w:rsidRPr="007B52CF">
        <w:rPr>
          <w:rFonts w:cstheme="minorHAnsi"/>
          <w:szCs w:val="24"/>
        </w:rPr>
        <w:t xml:space="preserve">We beg to inform you that, waiving expressly and unreservedly all benefits and rights deriving from Articles </w:t>
      </w:r>
      <w:r w:rsidR="00A6352F" w:rsidRPr="003A3341">
        <w:rPr>
          <w:rFonts w:cstheme="minorHAnsi"/>
          <w:szCs w:val="24"/>
        </w:rPr>
        <w:t xml:space="preserve">853, 855 et seq. and 866 </w:t>
      </w:r>
      <w:r w:rsidRPr="007B52CF">
        <w:rPr>
          <w:rFonts w:cstheme="minorHAnsi"/>
          <w:szCs w:val="24"/>
        </w:rPr>
        <w:t xml:space="preserve">of the Greek Civil Code, we hereby expressly, </w:t>
      </w:r>
      <w:proofErr w:type="gramStart"/>
      <w:r w:rsidRPr="007B52CF">
        <w:rPr>
          <w:rFonts w:cstheme="minorHAnsi"/>
          <w:szCs w:val="24"/>
        </w:rPr>
        <w:t>irrevocably</w:t>
      </w:r>
      <w:proofErr w:type="gramEnd"/>
      <w:r w:rsidRPr="007B52CF">
        <w:rPr>
          <w:rFonts w:cstheme="minorHAnsi"/>
          <w:szCs w:val="24"/>
        </w:rPr>
        <w:t xml:space="preserve"> and unreservedly guarantee as direct debtor in favor of your Participant (a)……………………………………………………………………………………………………………</w:t>
      </w:r>
    </w:p>
    <w:p w14:paraId="3F4A7B6F" w14:textId="77777777" w:rsidR="00D849C6" w:rsidRPr="007B52CF" w:rsidRDefault="00D849C6" w:rsidP="00205698">
      <w:pPr>
        <w:ind w:right="-477"/>
        <w:jc w:val="both"/>
        <w:rPr>
          <w:rFonts w:cstheme="minorHAnsi"/>
          <w:szCs w:val="24"/>
        </w:rPr>
      </w:pPr>
      <w:r w:rsidRPr="007B52CF">
        <w:rPr>
          <w:rFonts w:cstheme="minorHAnsi"/>
          <w:szCs w:val="24"/>
        </w:rPr>
        <w:t>Having its seat in (b)……………………………………………………………………………………………………….</w:t>
      </w:r>
    </w:p>
    <w:p w14:paraId="276E2878" w14:textId="77777777" w:rsidR="00D849C6" w:rsidRPr="007B52CF" w:rsidRDefault="00D849C6" w:rsidP="00205698">
      <w:pPr>
        <w:ind w:right="-477"/>
        <w:jc w:val="both"/>
        <w:rPr>
          <w:rFonts w:cstheme="minorHAnsi"/>
          <w:szCs w:val="24"/>
        </w:rPr>
      </w:pPr>
      <w:r w:rsidRPr="007B52CF">
        <w:rPr>
          <w:rFonts w:cstheme="minorHAnsi"/>
          <w:szCs w:val="24"/>
        </w:rPr>
        <w:t>Up to the sum of (c)…………………………………………………………………………………………………………</w:t>
      </w:r>
    </w:p>
    <w:p w14:paraId="48134096" w14:textId="599B0FAF" w:rsidR="00D849C6" w:rsidRPr="007B52CF" w:rsidRDefault="00D849C6" w:rsidP="00205698">
      <w:pPr>
        <w:ind w:right="-477"/>
        <w:jc w:val="both"/>
        <w:rPr>
          <w:rFonts w:cstheme="minorHAnsi"/>
          <w:szCs w:val="24"/>
        </w:rPr>
      </w:pPr>
      <w:r w:rsidRPr="007B52CF">
        <w:rPr>
          <w:rFonts w:cstheme="minorHAnsi"/>
          <w:szCs w:val="24"/>
        </w:rPr>
        <w:t>For the participation of said Participant in the Binding Bid</w:t>
      </w:r>
      <w:r w:rsidR="008F3871" w:rsidRPr="007B52CF">
        <w:rPr>
          <w:rFonts w:cstheme="minorHAnsi"/>
          <w:szCs w:val="24"/>
        </w:rPr>
        <w:t>d</w:t>
      </w:r>
      <w:r w:rsidRPr="007B52CF">
        <w:rPr>
          <w:rFonts w:cstheme="minorHAnsi"/>
          <w:szCs w:val="24"/>
        </w:rPr>
        <w:t xml:space="preserve">ing Phase having a Binding </w:t>
      </w:r>
      <w:r w:rsidR="004D433B">
        <w:rPr>
          <w:rFonts w:cstheme="minorHAnsi"/>
          <w:szCs w:val="24"/>
        </w:rPr>
        <w:t>Bid</w:t>
      </w:r>
      <w:r w:rsidR="004D433B" w:rsidRPr="007B52CF">
        <w:rPr>
          <w:rFonts w:cstheme="minorHAnsi"/>
          <w:szCs w:val="24"/>
        </w:rPr>
        <w:t xml:space="preserve"> </w:t>
      </w:r>
      <w:r w:rsidRPr="007B52CF">
        <w:rPr>
          <w:rFonts w:cstheme="minorHAnsi"/>
          <w:szCs w:val="24"/>
        </w:rPr>
        <w:t xml:space="preserve">Deadline (DAY - MONTH) …………………………………………………………………………… of (YEAR) (d) ……………………………………… in accordance with the Project Proposal </w:t>
      </w:r>
      <w:r w:rsidR="00A176FE" w:rsidRPr="007B52CF">
        <w:rPr>
          <w:rFonts w:cstheme="minorHAnsi"/>
          <w:szCs w:val="24"/>
        </w:rPr>
        <w:t xml:space="preserve">approved by the Hellenic </w:t>
      </w:r>
      <w:r w:rsidR="00A176FE" w:rsidRPr="007654BA">
        <w:rPr>
          <w:rFonts w:cstheme="minorHAnsi"/>
          <w:szCs w:val="24"/>
        </w:rPr>
        <w:t xml:space="preserve">Regulatory Authority for Energy </w:t>
      </w:r>
      <w:r w:rsidR="00A176FE" w:rsidRPr="003A3341">
        <w:rPr>
          <w:rFonts w:cstheme="minorHAnsi"/>
          <w:szCs w:val="24"/>
        </w:rPr>
        <w:t xml:space="preserve">Decision no </w:t>
      </w:r>
      <w:r w:rsidR="007654BA" w:rsidRPr="003A3341">
        <w:rPr>
          <w:rFonts w:cstheme="minorHAnsi"/>
          <w:szCs w:val="24"/>
        </w:rPr>
        <w:t>818</w:t>
      </w:r>
      <w:r w:rsidR="00A176FE" w:rsidRPr="003A3341">
        <w:rPr>
          <w:rFonts w:cstheme="minorHAnsi"/>
          <w:szCs w:val="24"/>
        </w:rPr>
        <w:t>/202</w:t>
      </w:r>
      <w:r w:rsidR="00387DF2" w:rsidRPr="003A3341">
        <w:rPr>
          <w:rFonts w:cstheme="minorHAnsi"/>
          <w:szCs w:val="24"/>
        </w:rPr>
        <w:t>2</w:t>
      </w:r>
      <w:r w:rsidR="00A176FE" w:rsidRPr="007654BA">
        <w:rPr>
          <w:rFonts w:cstheme="minorHAnsi"/>
          <w:szCs w:val="24"/>
        </w:rPr>
        <w:t xml:space="preserve"> </w:t>
      </w:r>
      <w:r w:rsidRPr="007654BA">
        <w:rPr>
          <w:rFonts w:cstheme="minorHAnsi"/>
          <w:szCs w:val="24"/>
        </w:rPr>
        <w:t>and</w:t>
      </w:r>
      <w:r w:rsidRPr="007B52CF">
        <w:rPr>
          <w:rFonts w:cstheme="minorHAnsi"/>
          <w:szCs w:val="24"/>
        </w:rPr>
        <w:t xml:space="preserve"> Joint Notice </w:t>
      </w:r>
      <w:r w:rsidR="00A176FE" w:rsidRPr="007B52CF">
        <w:rPr>
          <w:rFonts w:cstheme="minorHAnsi"/>
          <w:szCs w:val="24"/>
        </w:rPr>
        <w:t xml:space="preserve">of Trans Adriatic Pipeline AG, </w:t>
      </w:r>
      <w:proofErr w:type="spellStart"/>
      <w:r w:rsidR="00A176FE" w:rsidRPr="007B52CF">
        <w:rPr>
          <w:rFonts w:cstheme="minorHAnsi"/>
          <w:szCs w:val="24"/>
        </w:rPr>
        <w:t>Snam</w:t>
      </w:r>
      <w:proofErr w:type="spellEnd"/>
      <w:r w:rsidR="00A176FE" w:rsidRPr="007B52CF">
        <w:rPr>
          <w:rFonts w:cstheme="minorHAnsi"/>
          <w:szCs w:val="24"/>
        </w:rPr>
        <w:t xml:space="preserve"> Rete Gas S.p.A.</w:t>
      </w:r>
      <w:r w:rsidR="004566C0" w:rsidRPr="007B52CF">
        <w:rPr>
          <w:rFonts w:cstheme="minorHAnsi"/>
          <w:szCs w:val="24"/>
        </w:rPr>
        <w:t xml:space="preserve"> </w:t>
      </w:r>
      <w:r w:rsidR="00A176FE" w:rsidRPr="007B52CF">
        <w:rPr>
          <w:rFonts w:cstheme="minorHAnsi"/>
          <w:szCs w:val="24"/>
        </w:rPr>
        <w:t>and DESFA for the 20</w:t>
      </w:r>
      <w:r w:rsidR="00387DF2">
        <w:rPr>
          <w:rFonts w:cstheme="minorHAnsi"/>
          <w:szCs w:val="24"/>
        </w:rPr>
        <w:t>21</w:t>
      </w:r>
      <w:r w:rsidR="00A176FE" w:rsidRPr="007B52CF">
        <w:rPr>
          <w:rFonts w:cstheme="minorHAnsi"/>
          <w:szCs w:val="24"/>
        </w:rPr>
        <w:t xml:space="preserve"> Incremental Capacity Process</w:t>
      </w:r>
      <w:r w:rsidR="00924A8E" w:rsidRPr="007B52CF">
        <w:rPr>
          <w:rFonts w:cstheme="minorHAnsi"/>
          <w:szCs w:val="24"/>
        </w:rPr>
        <w:t xml:space="preserve"> </w:t>
      </w:r>
      <w:r w:rsidR="00A176FE" w:rsidRPr="007B52CF">
        <w:rPr>
          <w:rFonts w:cstheme="minorHAnsi"/>
          <w:szCs w:val="24"/>
        </w:rPr>
        <w:t>publi</w:t>
      </w:r>
      <w:r w:rsidR="004566C0" w:rsidRPr="007B52CF">
        <w:rPr>
          <w:rFonts w:cstheme="minorHAnsi"/>
          <w:szCs w:val="24"/>
        </w:rPr>
        <w:t>s</w:t>
      </w:r>
      <w:r w:rsidR="00A176FE" w:rsidRPr="007B52CF">
        <w:rPr>
          <w:rFonts w:cstheme="minorHAnsi"/>
          <w:szCs w:val="24"/>
        </w:rPr>
        <w:t>hed in their respective websites</w:t>
      </w:r>
      <w:r w:rsidRPr="007B52CF">
        <w:rPr>
          <w:rFonts w:cstheme="minorHAnsi"/>
          <w:szCs w:val="24"/>
        </w:rPr>
        <w:t>.  The terms used in this Letter of Guarantee shall, save where the context otherwise requires, have the meanings given in the Project Proposal and the Joint Notice.</w:t>
      </w:r>
    </w:p>
    <w:p w14:paraId="41EF9C1F" w14:textId="0A16D107" w:rsidR="00D849C6" w:rsidRPr="007B52CF" w:rsidRDefault="00D849C6" w:rsidP="00205698">
      <w:pPr>
        <w:ind w:right="-477"/>
        <w:jc w:val="both"/>
        <w:rPr>
          <w:rFonts w:cstheme="minorHAnsi"/>
          <w:szCs w:val="24"/>
        </w:rPr>
      </w:pPr>
      <w:r w:rsidRPr="007B52CF">
        <w:rPr>
          <w:rFonts w:cstheme="minorHAnsi"/>
          <w:szCs w:val="24"/>
        </w:rPr>
        <w:t xml:space="preserve">The above Guarantee refers to all the obligations deriving from the participation in the </w:t>
      </w:r>
      <w:proofErr w:type="gramStart"/>
      <w:r w:rsidRPr="007B52CF">
        <w:rPr>
          <w:rFonts w:cstheme="minorHAnsi"/>
          <w:szCs w:val="24"/>
        </w:rPr>
        <w:t>aforementioned Binding</w:t>
      </w:r>
      <w:proofErr w:type="gramEnd"/>
      <w:r w:rsidRPr="007B52CF">
        <w:rPr>
          <w:rFonts w:cstheme="minorHAnsi"/>
          <w:szCs w:val="24"/>
        </w:rPr>
        <w:t xml:space="preserve"> Biding Phase up to the signing of the relative Gas Transportation Agreement by Participant in accordance with the provisions of the above Project Proposal and Joint Notice.</w:t>
      </w:r>
    </w:p>
    <w:p w14:paraId="204528B5" w14:textId="77777777" w:rsidR="00D849C6" w:rsidRPr="007B52CF" w:rsidRDefault="00D849C6" w:rsidP="00205698">
      <w:pPr>
        <w:ind w:right="-477"/>
        <w:jc w:val="both"/>
        <w:rPr>
          <w:rFonts w:cstheme="minorHAnsi"/>
          <w:szCs w:val="24"/>
        </w:rPr>
      </w:pPr>
    </w:p>
    <w:p w14:paraId="18375A42" w14:textId="2F719F3D" w:rsidR="00D849C6" w:rsidRPr="007B52CF" w:rsidRDefault="00D849C6" w:rsidP="00205698">
      <w:pPr>
        <w:ind w:right="-477"/>
        <w:jc w:val="both"/>
        <w:rPr>
          <w:rFonts w:cstheme="minorHAnsi"/>
          <w:szCs w:val="24"/>
        </w:rPr>
      </w:pPr>
      <w:r w:rsidRPr="007B52CF">
        <w:rPr>
          <w:rFonts w:cstheme="minorHAnsi"/>
          <w:szCs w:val="24"/>
        </w:rPr>
        <w:t>In the event, as a consequence of the above Guarantee, you will decide that the said Participant is in default with regard to any obligation assumed by him in connection with his participation in the above Binding Bid</w:t>
      </w:r>
      <w:r w:rsidR="008F3871" w:rsidRPr="007B52CF">
        <w:rPr>
          <w:rFonts w:cstheme="minorHAnsi"/>
          <w:szCs w:val="24"/>
        </w:rPr>
        <w:t>d</w:t>
      </w:r>
      <w:r w:rsidRPr="007B52CF">
        <w:rPr>
          <w:rFonts w:cstheme="minorHAnsi"/>
          <w:szCs w:val="24"/>
        </w:rPr>
        <w:t>ing Phase, we are hereby assuming the obligation to pay forthwith to you, on first demand, without any objection whatsoever, the guaranteed sum according to your instruction and within</w:t>
      </w:r>
      <w:r w:rsidR="00E20D99" w:rsidRPr="007B52CF">
        <w:rPr>
          <w:rFonts w:cstheme="minorHAnsi"/>
          <w:szCs w:val="24"/>
        </w:rPr>
        <w:t xml:space="preserve"> 3</w:t>
      </w:r>
      <w:r w:rsidRPr="007B52CF">
        <w:rPr>
          <w:rFonts w:cstheme="minorHAnsi"/>
          <w:szCs w:val="24"/>
        </w:rPr>
        <w:t xml:space="preserve"> </w:t>
      </w:r>
      <w:r w:rsidR="00E20D99" w:rsidRPr="007B52CF">
        <w:rPr>
          <w:rFonts w:cstheme="minorHAnsi"/>
          <w:szCs w:val="24"/>
        </w:rPr>
        <w:t>(</w:t>
      </w:r>
      <w:r w:rsidRPr="007B52CF">
        <w:rPr>
          <w:rFonts w:cstheme="minorHAnsi"/>
          <w:szCs w:val="24"/>
        </w:rPr>
        <w:t>three</w:t>
      </w:r>
      <w:r w:rsidR="00E20D99" w:rsidRPr="007B52CF">
        <w:rPr>
          <w:rFonts w:cstheme="minorHAnsi"/>
          <w:szCs w:val="24"/>
        </w:rPr>
        <w:t>)</w:t>
      </w:r>
      <w:r w:rsidRPr="007B52CF">
        <w:rPr>
          <w:rFonts w:cstheme="minorHAnsi"/>
          <w:szCs w:val="24"/>
        </w:rPr>
        <w:t xml:space="preserve"> working days upon your simple demand, without any authorization, action or consent of the Participant hereinabove mentioned being required for such payment, nor any opposition, exception, objection by above Participant</w:t>
      </w:r>
      <w:r w:rsidR="00530A39">
        <w:rPr>
          <w:rFonts w:cstheme="minorHAnsi"/>
          <w:szCs w:val="24"/>
        </w:rPr>
        <w:t xml:space="preserve"> </w:t>
      </w:r>
      <w:r w:rsidR="00530A39" w:rsidRPr="00530A39">
        <w:rPr>
          <w:rFonts w:cstheme="minorHAnsi"/>
          <w:szCs w:val="24"/>
        </w:rPr>
        <w:lastRenderedPageBreak/>
        <w:t>or of any third part</w:t>
      </w:r>
      <w:r w:rsidRPr="007B52CF">
        <w:rPr>
          <w:rFonts w:cstheme="minorHAnsi"/>
          <w:szCs w:val="24"/>
        </w:rPr>
        <w:t>. DESFA shall not be incurred with taxes, levies or any charge related to a call on this Letter of Guarantee.</w:t>
      </w:r>
    </w:p>
    <w:p w14:paraId="56175C9E" w14:textId="2640EAF8" w:rsidR="00D849C6" w:rsidRPr="007B52CF" w:rsidRDefault="00D849C6" w:rsidP="00205698">
      <w:pPr>
        <w:ind w:right="-477"/>
        <w:jc w:val="both"/>
        <w:rPr>
          <w:rFonts w:cstheme="minorHAnsi"/>
          <w:szCs w:val="24"/>
        </w:rPr>
      </w:pPr>
      <w:r w:rsidRPr="007B52CF">
        <w:rPr>
          <w:rFonts w:cstheme="minorHAnsi"/>
          <w:szCs w:val="24"/>
        </w:rPr>
        <w:t xml:space="preserve">We further declare that our present guarantee shall remain in full force and effect, until </w:t>
      </w:r>
      <w:r w:rsidR="00EB07C5">
        <w:rPr>
          <w:rFonts w:cstheme="minorHAnsi"/>
          <w:szCs w:val="24"/>
        </w:rPr>
        <w:t>15</w:t>
      </w:r>
      <w:r w:rsidR="00EB07C5" w:rsidRPr="007B52CF">
        <w:rPr>
          <w:rFonts w:cstheme="minorHAnsi"/>
          <w:szCs w:val="24"/>
        </w:rPr>
        <w:t xml:space="preserve"> </w:t>
      </w:r>
      <w:r w:rsidR="00EB07C5">
        <w:rPr>
          <w:rFonts w:cstheme="minorHAnsi"/>
          <w:szCs w:val="24"/>
        </w:rPr>
        <w:t>April</w:t>
      </w:r>
      <w:r w:rsidR="00F46917" w:rsidRPr="007B52CF">
        <w:rPr>
          <w:rFonts w:cstheme="minorHAnsi"/>
          <w:szCs w:val="24"/>
        </w:rPr>
        <w:t xml:space="preserve"> 202</w:t>
      </w:r>
      <w:r w:rsidR="008E268C">
        <w:rPr>
          <w:rFonts w:cstheme="minorHAnsi"/>
          <w:szCs w:val="24"/>
        </w:rPr>
        <w:t>3</w:t>
      </w:r>
      <w:r w:rsidR="00686CB2" w:rsidRPr="007B52CF">
        <w:rPr>
          <w:rFonts w:cstheme="minorHAnsi"/>
          <w:szCs w:val="24"/>
        </w:rPr>
        <w:t xml:space="preserve"> past this deadline and </w:t>
      </w:r>
      <w:proofErr w:type="gramStart"/>
      <w:r w:rsidR="00686CB2" w:rsidRPr="007B52CF">
        <w:rPr>
          <w:rFonts w:cstheme="minorHAnsi"/>
          <w:szCs w:val="24"/>
        </w:rPr>
        <w:t>provided that</w:t>
      </w:r>
      <w:proofErr w:type="gramEnd"/>
      <w:r w:rsidR="00686CB2" w:rsidRPr="007B52CF">
        <w:rPr>
          <w:rFonts w:cstheme="minorHAnsi"/>
          <w:szCs w:val="24"/>
        </w:rPr>
        <w:t xml:space="preserve"> we have not been made aware of any claims by you over the amount of the guarantee, as mentioned above, this letter of guarantee shall automatically become null and void. </w:t>
      </w:r>
    </w:p>
    <w:p w14:paraId="61EF9711" w14:textId="77777777" w:rsidR="00D849C6" w:rsidRPr="007B52CF" w:rsidRDefault="00D849C6" w:rsidP="00D849C6">
      <w:pPr>
        <w:ind w:right="-477"/>
        <w:jc w:val="both"/>
        <w:rPr>
          <w:rFonts w:cstheme="minorHAnsi"/>
          <w:szCs w:val="24"/>
        </w:rPr>
      </w:pPr>
      <w:r w:rsidRPr="007B52CF">
        <w:rPr>
          <w:rFonts w:cstheme="minorHAnsi"/>
          <w:szCs w:val="24"/>
        </w:rPr>
        <w:t>We also certify that all letters of guarantee that have been issued by us and are in force, including also present Letter of Guarantee, doesn’t exceed the upper limit for our Bank regarding the provision of guarantees, stipulated by the applicable legislation.</w:t>
      </w:r>
    </w:p>
    <w:p w14:paraId="3F8358D8" w14:textId="77777777" w:rsidR="00D849C6" w:rsidRPr="007B52CF" w:rsidRDefault="00D849C6" w:rsidP="00D849C6">
      <w:pPr>
        <w:ind w:right="-477"/>
        <w:jc w:val="both"/>
        <w:rPr>
          <w:rFonts w:cstheme="minorHAnsi"/>
          <w:szCs w:val="24"/>
        </w:rPr>
      </w:pPr>
      <w:r w:rsidRPr="007B52CF">
        <w:rPr>
          <w:rFonts w:cstheme="minorHAnsi"/>
          <w:szCs w:val="24"/>
        </w:rPr>
        <w:t>The present letter of guarantee shall be governed by the Greek Law; the Courts of Athens are exclusively competent to resolve any conflict arising therefrom.</w:t>
      </w:r>
    </w:p>
    <w:p w14:paraId="2CF41F00" w14:textId="77777777" w:rsidR="00D849C6" w:rsidRPr="007B52CF" w:rsidRDefault="00D849C6" w:rsidP="008E02B2">
      <w:pPr>
        <w:ind w:right="-477"/>
        <w:jc w:val="both"/>
        <w:rPr>
          <w:rFonts w:cstheme="minorHAnsi"/>
          <w:szCs w:val="24"/>
        </w:rPr>
      </w:pPr>
    </w:p>
    <w:p w14:paraId="2C56163F" w14:textId="77777777" w:rsidR="00D849C6" w:rsidRPr="007B52CF" w:rsidRDefault="00D849C6" w:rsidP="008E02B2">
      <w:pPr>
        <w:ind w:right="-477"/>
        <w:jc w:val="both"/>
        <w:rPr>
          <w:rFonts w:cstheme="minorHAnsi"/>
          <w:szCs w:val="24"/>
        </w:rPr>
      </w:pPr>
    </w:p>
    <w:p w14:paraId="7DA04128" w14:textId="77777777" w:rsidR="00B75340" w:rsidRDefault="00B75340" w:rsidP="008E02B2">
      <w:pPr>
        <w:ind w:right="-477"/>
        <w:jc w:val="both"/>
        <w:rPr>
          <w:rFonts w:cstheme="minorHAnsi"/>
          <w:szCs w:val="24"/>
        </w:rPr>
      </w:pPr>
    </w:p>
    <w:p w14:paraId="07F0864F" w14:textId="77777777" w:rsidR="00205691" w:rsidRPr="00A2138A" w:rsidRDefault="00205691" w:rsidP="00205691">
      <w:pPr>
        <w:ind w:right="-477"/>
        <w:jc w:val="both"/>
        <w:rPr>
          <w:rFonts w:cstheme="minorHAnsi"/>
          <w:i/>
          <w:sz w:val="24"/>
          <w:szCs w:val="24"/>
        </w:rPr>
      </w:pPr>
      <w:r w:rsidRPr="00A2138A">
        <w:rPr>
          <w:rFonts w:cstheme="minorHAnsi"/>
          <w:i/>
          <w:sz w:val="24"/>
          <w:szCs w:val="24"/>
        </w:rPr>
        <w:t>[name of issuing bank],</w:t>
      </w:r>
    </w:p>
    <w:p w14:paraId="315D3208" w14:textId="77777777" w:rsidR="00205691" w:rsidRDefault="00205691" w:rsidP="00205691">
      <w:pPr>
        <w:ind w:right="-477"/>
        <w:jc w:val="both"/>
        <w:rPr>
          <w:rFonts w:cstheme="minorHAnsi"/>
          <w:sz w:val="24"/>
          <w:szCs w:val="24"/>
        </w:rPr>
      </w:pPr>
      <w:r w:rsidRPr="00A2138A">
        <w:rPr>
          <w:rFonts w:cstheme="minorHAnsi"/>
          <w:sz w:val="24"/>
          <w:szCs w:val="24"/>
        </w:rPr>
        <w:t>In witness whereof, this Guarantee has been executed and delivered as a deed on the above-mentioned date.</w:t>
      </w:r>
    </w:p>
    <w:p w14:paraId="5F55329F" w14:textId="77777777" w:rsidR="000F1AC8" w:rsidRPr="007B52CF" w:rsidRDefault="000F1AC8" w:rsidP="008E02B2">
      <w:pPr>
        <w:ind w:right="-477"/>
        <w:jc w:val="both"/>
        <w:rPr>
          <w:rFonts w:cstheme="minorHAnsi"/>
          <w:szCs w:val="24"/>
        </w:rPr>
      </w:pPr>
    </w:p>
    <w:p w14:paraId="6283F62B" w14:textId="77777777" w:rsidR="00D849C6" w:rsidRPr="007B52CF" w:rsidRDefault="00D849C6" w:rsidP="008E02B2">
      <w:pPr>
        <w:ind w:right="-477"/>
        <w:jc w:val="both"/>
        <w:rPr>
          <w:rFonts w:cstheme="minorHAnsi"/>
          <w:szCs w:val="24"/>
        </w:rPr>
      </w:pPr>
      <w:r w:rsidRPr="007B52CF">
        <w:rPr>
          <w:rFonts w:cstheme="minorHAnsi"/>
          <w:szCs w:val="24"/>
        </w:rPr>
        <w:t xml:space="preserve">Note: </w:t>
      </w:r>
      <w:r w:rsidRPr="007B52CF">
        <w:rPr>
          <w:rFonts w:cstheme="minorHAnsi"/>
          <w:szCs w:val="24"/>
        </w:rPr>
        <w:tab/>
        <w:t>On blank spaces to be inserted:</w:t>
      </w:r>
    </w:p>
    <w:tbl>
      <w:tblPr>
        <w:tblW w:w="9606" w:type="dxa"/>
        <w:tblLook w:val="04A0" w:firstRow="1" w:lastRow="0" w:firstColumn="1" w:lastColumn="0" w:noHBand="0" w:noVBand="1"/>
      </w:tblPr>
      <w:tblGrid>
        <w:gridCol w:w="769"/>
        <w:gridCol w:w="8837"/>
      </w:tblGrid>
      <w:tr w:rsidR="00D849C6" w:rsidRPr="000F1AC8" w14:paraId="70BE9469" w14:textId="77777777" w:rsidTr="00FD0F06">
        <w:tc>
          <w:tcPr>
            <w:tcW w:w="769" w:type="dxa"/>
            <w:shd w:val="clear" w:color="auto" w:fill="auto"/>
          </w:tcPr>
          <w:p w14:paraId="7B87CBD9" w14:textId="77777777" w:rsidR="00D849C6" w:rsidRPr="007B52CF" w:rsidRDefault="00D849C6" w:rsidP="008E02B2">
            <w:pPr>
              <w:ind w:right="-477"/>
              <w:jc w:val="both"/>
              <w:rPr>
                <w:rFonts w:cstheme="minorHAnsi"/>
                <w:szCs w:val="24"/>
              </w:rPr>
            </w:pPr>
            <w:r w:rsidRPr="007B52CF">
              <w:rPr>
                <w:rFonts w:cstheme="minorHAnsi"/>
                <w:szCs w:val="24"/>
              </w:rPr>
              <w:t>a.</w:t>
            </w:r>
          </w:p>
        </w:tc>
        <w:tc>
          <w:tcPr>
            <w:tcW w:w="8837" w:type="dxa"/>
            <w:shd w:val="clear" w:color="auto" w:fill="auto"/>
          </w:tcPr>
          <w:p w14:paraId="23A44A2E" w14:textId="77777777" w:rsidR="00D849C6" w:rsidRPr="007B52CF" w:rsidRDefault="00D849C6" w:rsidP="008E02B2">
            <w:pPr>
              <w:ind w:right="-477"/>
              <w:jc w:val="both"/>
              <w:rPr>
                <w:rFonts w:cstheme="minorHAnsi"/>
                <w:szCs w:val="24"/>
              </w:rPr>
            </w:pPr>
            <w:r w:rsidRPr="007B52CF">
              <w:rPr>
                <w:rFonts w:cstheme="minorHAnsi"/>
                <w:szCs w:val="24"/>
              </w:rPr>
              <w:t xml:space="preserve">THE BUSINESS TRADE NAME OF THE PARTICIPANT </w:t>
            </w:r>
          </w:p>
        </w:tc>
      </w:tr>
      <w:tr w:rsidR="00D849C6" w:rsidRPr="000F1AC8" w14:paraId="5140C581" w14:textId="77777777" w:rsidTr="00FD0F06">
        <w:tc>
          <w:tcPr>
            <w:tcW w:w="769" w:type="dxa"/>
            <w:shd w:val="clear" w:color="auto" w:fill="auto"/>
          </w:tcPr>
          <w:p w14:paraId="5A5067D8" w14:textId="77777777" w:rsidR="00D849C6" w:rsidRPr="007B52CF" w:rsidRDefault="00D849C6" w:rsidP="008E02B2">
            <w:pPr>
              <w:ind w:right="-477"/>
              <w:jc w:val="both"/>
              <w:rPr>
                <w:rFonts w:cstheme="minorHAnsi"/>
                <w:szCs w:val="24"/>
              </w:rPr>
            </w:pPr>
            <w:r w:rsidRPr="007B52CF">
              <w:rPr>
                <w:rFonts w:cstheme="minorHAnsi"/>
                <w:szCs w:val="24"/>
              </w:rPr>
              <w:t>b.</w:t>
            </w:r>
          </w:p>
        </w:tc>
        <w:tc>
          <w:tcPr>
            <w:tcW w:w="8837" w:type="dxa"/>
            <w:shd w:val="clear" w:color="auto" w:fill="auto"/>
          </w:tcPr>
          <w:p w14:paraId="59ACB24B" w14:textId="77777777" w:rsidR="00D849C6" w:rsidRPr="007B52CF" w:rsidRDefault="00D849C6" w:rsidP="008E02B2">
            <w:pPr>
              <w:ind w:right="-477"/>
              <w:jc w:val="both"/>
              <w:rPr>
                <w:rFonts w:cstheme="minorHAnsi"/>
                <w:szCs w:val="24"/>
              </w:rPr>
            </w:pPr>
            <w:r w:rsidRPr="007B52CF">
              <w:rPr>
                <w:rFonts w:cstheme="minorHAnsi"/>
                <w:szCs w:val="24"/>
              </w:rPr>
              <w:t>THE ADDRESS OF PARTICIPANT’S SEAT TO BE INSERTED HERE</w:t>
            </w:r>
          </w:p>
        </w:tc>
      </w:tr>
      <w:tr w:rsidR="00D849C6" w:rsidRPr="000F1AC8" w14:paraId="7302ACFE" w14:textId="77777777" w:rsidTr="00FD0F06">
        <w:tc>
          <w:tcPr>
            <w:tcW w:w="769" w:type="dxa"/>
            <w:shd w:val="clear" w:color="auto" w:fill="auto"/>
          </w:tcPr>
          <w:p w14:paraId="3CE5D309" w14:textId="77777777" w:rsidR="00D849C6" w:rsidRPr="007B52CF" w:rsidRDefault="00D849C6" w:rsidP="008E02B2">
            <w:pPr>
              <w:ind w:right="-477"/>
              <w:jc w:val="both"/>
              <w:rPr>
                <w:rFonts w:cstheme="minorHAnsi"/>
                <w:szCs w:val="24"/>
              </w:rPr>
            </w:pPr>
            <w:r w:rsidRPr="007B52CF">
              <w:rPr>
                <w:rFonts w:cstheme="minorHAnsi"/>
                <w:szCs w:val="24"/>
              </w:rPr>
              <w:t>c.</w:t>
            </w:r>
          </w:p>
        </w:tc>
        <w:tc>
          <w:tcPr>
            <w:tcW w:w="8837" w:type="dxa"/>
            <w:shd w:val="clear" w:color="auto" w:fill="auto"/>
          </w:tcPr>
          <w:p w14:paraId="57DDCCB2" w14:textId="77777777" w:rsidR="00D849C6" w:rsidRPr="007B52CF" w:rsidRDefault="00D849C6" w:rsidP="008E02B2">
            <w:pPr>
              <w:ind w:right="-477"/>
              <w:jc w:val="both"/>
              <w:rPr>
                <w:rFonts w:cstheme="minorHAnsi"/>
                <w:szCs w:val="24"/>
              </w:rPr>
            </w:pPr>
            <w:r w:rsidRPr="007B52CF">
              <w:rPr>
                <w:rFonts w:cstheme="minorHAnsi"/>
                <w:szCs w:val="24"/>
              </w:rPr>
              <w:t>THE AMOUNT OF BINDING BID GUARANTEE IS TO BE INSERTED HERE</w:t>
            </w:r>
          </w:p>
        </w:tc>
      </w:tr>
      <w:tr w:rsidR="00D849C6" w:rsidRPr="000F1AC8" w14:paraId="6E43CC3F" w14:textId="77777777" w:rsidTr="00FD0F06">
        <w:tc>
          <w:tcPr>
            <w:tcW w:w="769" w:type="dxa"/>
            <w:shd w:val="clear" w:color="auto" w:fill="auto"/>
          </w:tcPr>
          <w:p w14:paraId="48B36E6E" w14:textId="77777777" w:rsidR="00D849C6" w:rsidRPr="007B52CF" w:rsidRDefault="00D849C6" w:rsidP="008E02B2">
            <w:pPr>
              <w:ind w:right="-477"/>
              <w:jc w:val="both"/>
              <w:rPr>
                <w:rFonts w:cstheme="minorHAnsi"/>
                <w:szCs w:val="24"/>
              </w:rPr>
            </w:pPr>
            <w:r w:rsidRPr="007B52CF">
              <w:rPr>
                <w:rFonts w:cstheme="minorHAnsi"/>
                <w:szCs w:val="24"/>
              </w:rPr>
              <w:t>d.</w:t>
            </w:r>
          </w:p>
        </w:tc>
        <w:tc>
          <w:tcPr>
            <w:tcW w:w="8837" w:type="dxa"/>
            <w:shd w:val="clear" w:color="auto" w:fill="auto"/>
          </w:tcPr>
          <w:p w14:paraId="26A04A01" w14:textId="77777777" w:rsidR="00D849C6" w:rsidRPr="007B52CF" w:rsidRDefault="00D849C6" w:rsidP="008E02B2">
            <w:pPr>
              <w:ind w:right="-477"/>
              <w:jc w:val="both"/>
              <w:rPr>
                <w:rFonts w:cstheme="minorHAnsi"/>
                <w:szCs w:val="24"/>
              </w:rPr>
            </w:pPr>
            <w:r w:rsidRPr="007B52CF">
              <w:rPr>
                <w:rFonts w:cstheme="minorHAnsi"/>
                <w:szCs w:val="24"/>
              </w:rPr>
              <w:t>BINDING OFFER DEADLINE FOR THE SUBMISSION OF THE BIDS IS TO BE INSERTED HERE</w:t>
            </w:r>
          </w:p>
        </w:tc>
      </w:tr>
    </w:tbl>
    <w:p w14:paraId="12E5074D" w14:textId="77777777" w:rsidR="001A450D" w:rsidRPr="0019343B" w:rsidRDefault="001A450D" w:rsidP="001A450D">
      <w:pPr>
        <w:spacing w:before="100" w:beforeAutospacing="1" w:after="100" w:afterAutospacing="1" w:line="276" w:lineRule="auto"/>
        <w:ind w:right="5"/>
        <w:rPr>
          <w:rFonts w:cstheme="minorHAnsi"/>
          <w:b/>
          <w:sz w:val="36"/>
          <w:szCs w:val="24"/>
        </w:rPr>
      </w:pPr>
      <w:r w:rsidRPr="0019343B">
        <w:rPr>
          <w:rFonts w:cstheme="minorHAnsi"/>
          <w:sz w:val="24"/>
          <w:szCs w:val="24"/>
        </w:rPr>
        <w:br w:type="page"/>
      </w:r>
    </w:p>
    <w:p w14:paraId="3B5E1B03" w14:textId="77777777" w:rsidR="001A450D" w:rsidRPr="001D27C6" w:rsidRDefault="001A450D">
      <w:pPr>
        <w:rPr>
          <w:rFonts w:cstheme="minorHAnsi"/>
        </w:rPr>
      </w:pPr>
    </w:p>
    <w:p w14:paraId="195659D1" w14:textId="77777777" w:rsidR="006D033A" w:rsidRPr="000E44F5" w:rsidRDefault="006D033A" w:rsidP="000E44F5">
      <w:pPr>
        <w:pStyle w:val="Heading3"/>
        <w:pBdr>
          <w:bottom w:val="single" w:sz="4" w:space="1" w:color="auto"/>
        </w:pBdr>
        <w:rPr>
          <w:sz w:val="36"/>
          <w:szCs w:val="36"/>
        </w:rPr>
      </w:pPr>
      <w:bookmarkStart w:id="74" w:name="_Toc119485268"/>
      <w:r w:rsidRPr="000E44F5">
        <w:rPr>
          <w:sz w:val="36"/>
          <w:szCs w:val="36"/>
        </w:rPr>
        <w:t>A</w:t>
      </w:r>
      <w:r w:rsidR="005C5D58">
        <w:rPr>
          <w:sz w:val="36"/>
          <w:szCs w:val="36"/>
        </w:rPr>
        <w:t>nnex</w:t>
      </w:r>
      <w:r w:rsidRPr="000E44F5">
        <w:rPr>
          <w:sz w:val="36"/>
          <w:szCs w:val="36"/>
        </w:rPr>
        <w:t xml:space="preserve"> IV</w:t>
      </w:r>
      <w:r w:rsidR="005C5D58">
        <w:rPr>
          <w:sz w:val="36"/>
          <w:szCs w:val="36"/>
        </w:rPr>
        <w:t xml:space="preserve"> – </w:t>
      </w:r>
      <w:r w:rsidRPr="000E44F5">
        <w:rPr>
          <w:sz w:val="36"/>
          <w:szCs w:val="36"/>
        </w:rPr>
        <w:t>L</w:t>
      </w:r>
      <w:r w:rsidR="005C5D58">
        <w:rPr>
          <w:sz w:val="36"/>
          <w:szCs w:val="36"/>
        </w:rPr>
        <w:t xml:space="preserve">egalization documents submitted with the Registration </w:t>
      </w:r>
      <w:r w:rsidRPr="000E44F5">
        <w:rPr>
          <w:sz w:val="36"/>
          <w:szCs w:val="36"/>
        </w:rPr>
        <w:t>F</w:t>
      </w:r>
      <w:r w:rsidR="005C5D58">
        <w:rPr>
          <w:sz w:val="36"/>
          <w:szCs w:val="36"/>
        </w:rPr>
        <w:t>orm</w:t>
      </w:r>
      <w:bookmarkEnd w:id="74"/>
      <w:r w:rsidRPr="000E44F5">
        <w:rPr>
          <w:sz w:val="36"/>
          <w:szCs w:val="36"/>
        </w:rPr>
        <w:t xml:space="preserve"> </w:t>
      </w:r>
    </w:p>
    <w:p w14:paraId="20C05B14" w14:textId="77777777" w:rsidR="006D033A" w:rsidRPr="001D27C6" w:rsidRDefault="006D033A" w:rsidP="006D033A">
      <w:pPr>
        <w:jc w:val="both"/>
        <w:rPr>
          <w:rFonts w:cstheme="minorHAnsi"/>
        </w:rPr>
      </w:pPr>
    </w:p>
    <w:p w14:paraId="0E72D1EE" w14:textId="77777777" w:rsidR="006D033A" w:rsidRPr="001D27C6" w:rsidRDefault="006D033A" w:rsidP="006D033A">
      <w:pPr>
        <w:jc w:val="both"/>
        <w:rPr>
          <w:rFonts w:cstheme="minorHAnsi"/>
        </w:rPr>
      </w:pPr>
      <w:r w:rsidRPr="001D27C6">
        <w:rPr>
          <w:rFonts w:cstheme="minorHAnsi"/>
        </w:rPr>
        <w:t>The Applicant is obliged to submit along with the Registration Form of Annex I, the following documents:</w:t>
      </w:r>
    </w:p>
    <w:p w14:paraId="65EC4BC2" w14:textId="77777777" w:rsidR="006D033A" w:rsidRPr="001D27C6" w:rsidRDefault="006D033A" w:rsidP="006D033A">
      <w:pPr>
        <w:jc w:val="both"/>
        <w:rPr>
          <w:rFonts w:cstheme="minorHAnsi"/>
        </w:rPr>
      </w:pPr>
      <w:r w:rsidRPr="001D27C6">
        <w:rPr>
          <w:rFonts w:cstheme="minorHAnsi"/>
          <w:b/>
        </w:rPr>
        <w:t>A.</w:t>
      </w:r>
      <w:r w:rsidRPr="001D27C6">
        <w:rPr>
          <w:rFonts w:cstheme="minorHAnsi"/>
        </w:rPr>
        <w:t xml:space="preserve"> For the purposes of this Binding Bid</w:t>
      </w:r>
      <w:r w:rsidR="001E524D">
        <w:rPr>
          <w:rFonts w:cstheme="minorHAnsi"/>
        </w:rPr>
        <w:t>d</w:t>
      </w:r>
      <w:r w:rsidRPr="001D27C6">
        <w:rPr>
          <w:rFonts w:cstheme="minorHAnsi"/>
        </w:rPr>
        <w:t>ing Phase, if one or more of the documents submitted in the context of the relevant Standard</w:t>
      </w:r>
      <w:r w:rsidR="001E524D" w:rsidRPr="001E524D">
        <w:rPr>
          <w:rFonts w:cstheme="minorHAnsi"/>
        </w:rPr>
        <w:t xml:space="preserve"> </w:t>
      </w:r>
      <w:r w:rsidR="001E524D">
        <w:rPr>
          <w:rFonts w:cstheme="minorHAnsi"/>
        </w:rPr>
        <w:t>Framework</w:t>
      </w:r>
      <w:r w:rsidRPr="001D27C6">
        <w:rPr>
          <w:rFonts w:cstheme="minorHAnsi"/>
        </w:rPr>
        <w:t xml:space="preserve"> Transmission Agreement signed with DESFA have been amended, revoked or are no longer valid, the Applicant shall submit to DESFA the updated legalization documents in hardcopy or electronic </w:t>
      </w:r>
      <w:proofErr w:type="gramStart"/>
      <w:r w:rsidRPr="001D27C6">
        <w:rPr>
          <w:rFonts w:cstheme="minorHAnsi"/>
        </w:rPr>
        <w:t>form, as the case may be</w:t>
      </w:r>
      <w:proofErr w:type="gramEnd"/>
      <w:r w:rsidRPr="001D27C6">
        <w:rPr>
          <w:rFonts w:cstheme="minorHAnsi"/>
        </w:rPr>
        <w:t>. When submitting the updated/new documents, the Applicant must also submit a declaration by its legal representative confirming that the rest of the documents already submitted are still in force and have not been amended or revoked.</w:t>
      </w:r>
    </w:p>
    <w:p w14:paraId="35234970" w14:textId="77777777" w:rsidR="006D033A" w:rsidRPr="001D27C6" w:rsidRDefault="006D033A" w:rsidP="006D033A">
      <w:pPr>
        <w:jc w:val="both"/>
        <w:rPr>
          <w:rFonts w:cstheme="minorHAnsi"/>
        </w:rPr>
      </w:pPr>
      <w:r w:rsidRPr="001D27C6">
        <w:rPr>
          <w:rFonts w:cstheme="minorHAnsi"/>
          <w:b/>
        </w:rPr>
        <w:t>B.</w:t>
      </w:r>
      <w:r w:rsidRPr="001D27C6">
        <w:rPr>
          <w:rFonts w:cstheme="minorHAnsi"/>
        </w:rPr>
        <w:t xml:space="preserve"> Unless it emerges by the legalization documents already submitted in the context of the Standard </w:t>
      </w:r>
      <w:r w:rsidR="001E524D">
        <w:rPr>
          <w:rFonts w:cstheme="minorHAnsi"/>
        </w:rPr>
        <w:t xml:space="preserve">Framework </w:t>
      </w:r>
      <w:r w:rsidRPr="001D27C6">
        <w:rPr>
          <w:rFonts w:cstheme="minorHAnsi"/>
        </w:rPr>
        <w:t>Transmission Agreement, the legally binding documents whereby its legal representative(s) is (are) vested with the powers and authorities to act in the name and on behalf of the Applicant in order to submit the Registration Form, the Binding Bid Form, the Binding Bid Guarantee and any other documents or notices or confirmation as may be required, and to sign in the name and on behalf of the Applicant the Gas Transportation Agreement with DESFA, following the positive outcome of the Economic Viability Test, carry into effect and perform the Gas Transportation Agreement with DESFA as well as any obligations in connection with or pursuant to said agreement</w:t>
      </w:r>
      <w:r w:rsidR="00FE6D8B" w:rsidRPr="001D27C6">
        <w:rPr>
          <w:rFonts w:cstheme="minorHAnsi"/>
        </w:rPr>
        <w:t xml:space="preserve"> </w:t>
      </w:r>
      <w:r w:rsidRPr="001D27C6">
        <w:rPr>
          <w:rFonts w:cstheme="minorHAnsi"/>
        </w:rPr>
        <w:t>and deliver any other documents whatsoever.</w:t>
      </w:r>
    </w:p>
    <w:p w14:paraId="25C5201C" w14:textId="77777777" w:rsidR="006D033A" w:rsidRPr="001D27C6" w:rsidRDefault="006D033A" w:rsidP="006D033A">
      <w:pPr>
        <w:jc w:val="both"/>
        <w:rPr>
          <w:rFonts w:cstheme="minorHAnsi"/>
        </w:rPr>
      </w:pPr>
      <w:r w:rsidRPr="001D27C6">
        <w:rPr>
          <w:rFonts w:cstheme="minorHAnsi"/>
          <w:b/>
        </w:rPr>
        <w:t>C.</w:t>
      </w:r>
      <w:r w:rsidRPr="001D27C6">
        <w:rPr>
          <w:rFonts w:cstheme="minorHAnsi"/>
        </w:rPr>
        <w:t xml:space="preserve"> Extracts from Judicial records, or failing this, equivalent documents issued by competent judicial or administrative authorities in the country of origin and/or the country where the Applicant is registered, are enclosed, proving that:</w:t>
      </w:r>
    </w:p>
    <w:p w14:paraId="166DA485" w14:textId="77777777" w:rsidR="006D033A" w:rsidRPr="001E39C0" w:rsidRDefault="006D033A">
      <w:pPr>
        <w:pStyle w:val="ListParagraph"/>
        <w:numPr>
          <w:ilvl w:val="0"/>
          <w:numId w:val="39"/>
        </w:numPr>
        <w:jc w:val="both"/>
        <w:rPr>
          <w:rFonts w:cstheme="minorHAnsi"/>
        </w:rPr>
      </w:pPr>
      <w:r w:rsidRPr="001E39C0">
        <w:rPr>
          <w:rFonts w:cstheme="minorHAnsi"/>
        </w:rPr>
        <w:t>Participant is not bankrupt, under liquidation, bankruptcy, obligatory administration or winding up, compromise, or any other similar situation resulting from a similar procedure, as provided by National Legislation.</w:t>
      </w:r>
    </w:p>
    <w:p w14:paraId="074D4DB3" w14:textId="77777777" w:rsidR="006D033A" w:rsidRPr="001E39C0" w:rsidRDefault="006D033A">
      <w:pPr>
        <w:pStyle w:val="ListParagraph"/>
        <w:numPr>
          <w:ilvl w:val="0"/>
          <w:numId w:val="39"/>
        </w:numPr>
        <w:jc w:val="both"/>
        <w:rPr>
          <w:rFonts w:cstheme="minorHAnsi"/>
        </w:rPr>
      </w:pPr>
      <w:r w:rsidRPr="001E39C0">
        <w:rPr>
          <w:rFonts w:cstheme="minorHAnsi"/>
        </w:rPr>
        <w:t>Applicant is not the subject of proceedings for a declaration of bankruptcy, obligatory administration or winding up, compromise or any other similar situation or resulting from any other similar procedure as provided by National Legislation.</w:t>
      </w:r>
    </w:p>
    <w:p w14:paraId="3BAA752A" w14:textId="77777777" w:rsidR="006D033A" w:rsidRPr="001D27C6" w:rsidRDefault="006D033A" w:rsidP="006D033A">
      <w:pPr>
        <w:jc w:val="both"/>
        <w:rPr>
          <w:rFonts w:cstheme="minorHAnsi"/>
        </w:rPr>
      </w:pPr>
      <w:r w:rsidRPr="001D27C6">
        <w:rPr>
          <w:rFonts w:cstheme="minorHAnsi"/>
          <w:b/>
        </w:rPr>
        <w:t>D.</w:t>
      </w:r>
      <w:r w:rsidRPr="001D27C6">
        <w:rPr>
          <w:rFonts w:cstheme="minorHAnsi"/>
        </w:rPr>
        <w:t xml:space="preserve"> All foreign documents must be submitted in an official translation</w:t>
      </w:r>
      <w:r w:rsidR="0055100D" w:rsidRPr="0055100D">
        <w:rPr>
          <w:rFonts w:cstheme="minorHAnsi"/>
        </w:rPr>
        <w:t xml:space="preserve">, </w:t>
      </w:r>
      <w:r w:rsidR="0055100D">
        <w:rPr>
          <w:rFonts w:cstheme="minorHAnsi"/>
        </w:rPr>
        <w:t xml:space="preserve">under the Greek Law, </w:t>
      </w:r>
      <w:r w:rsidRPr="001D27C6">
        <w:rPr>
          <w:rFonts w:cstheme="minorHAnsi"/>
        </w:rPr>
        <w:t>into the Greek language.</w:t>
      </w:r>
    </w:p>
    <w:p w14:paraId="155D9B63" w14:textId="77777777" w:rsidR="006D033A" w:rsidRPr="001D27C6" w:rsidRDefault="006D033A">
      <w:pPr>
        <w:rPr>
          <w:rFonts w:cstheme="minorHAnsi"/>
        </w:rPr>
      </w:pPr>
      <w:r w:rsidRPr="001D27C6">
        <w:rPr>
          <w:rFonts w:cstheme="minorHAnsi"/>
        </w:rPr>
        <w:br w:type="page"/>
      </w:r>
    </w:p>
    <w:p w14:paraId="431ED13F" w14:textId="77777777" w:rsidR="006D033A" w:rsidRPr="00971B02" w:rsidRDefault="006D033A" w:rsidP="00971B02">
      <w:pPr>
        <w:pStyle w:val="Heading3"/>
        <w:pBdr>
          <w:bottom w:val="single" w:sz="4" w:space="1" w:color="auto"/>
        </w:pBdr>
        <w:rPr>
          <w:sz w:val="36"/>
          <w:szCs w:val="36"/>
        </w:rPr>
      </w:pPr>
      <w:bookmarkStart w:id="75" w:name="_Toc119485269"/>
      <w:r w:rsidRPr="00971B02">
        <w:rPr>
          <w:sz w:val="36"/>
          <w:szCs w:val="36"/>
        </w:rPr>
        <w:lastRenderedPageBreak/>
        <w:t>Annex V - Economic test parameters for DESFA &amp; estimated value of the annual capacity charge</w:t>
      </w:r>
      <w:bookmarkEnd w:id="75"/>
    </w:p>
    <w:p w14:paraId="104E4524" w14:textId="77777777" w:rsidR="006D033A" w:rsidRPr="001D27C6" w:rsidRDefault="006D033A" w:rsidP="006D033A">
      <w:pPr>
        <w:widowControl w:val="0"/>
        <w:suppressAutoHyphens/>
        <w:spacing w:after="120" w:line="360" w:lineRule="auto"/>
        <w:jc w:val="both"/>
        <w:rPr>
          <w:rFonts w:cstheme="minorHAnsi"/>
        </w:rPr>
      </w:pPr>
    </w:p>
    <w:p w14:paraId="25BF3518" w14:textId="77777777" w:rsidR="006D033A" w:rsidRPr="001D27C6" w:rsidRDefault="006D033A" w:rsidP="006D033A">
      <w:pPr>
        <w:widowControl w:val="0"/>
        <w:suppressAutoHyphens/>
        <w:spacing w:after="120" w:line="360" w:lineRule="auto"/>
        <w:jc w:val="both"/>
        <w:rPr>
          <w:rFonts w:cstheme="minorHAnsi"/>
        </w:rPr>
      </w:pPr>
      <w:r w:rsidRPr="001D27C6">
        <w:rPr>
          <w:rFonts w:cstheme="minorHAnsi"/>
        </w:rPr>
        <w:t xml:space="preserve">This Annex describes the approved level of the user commitments (f-factor) to be considered in the execution of the EVT envisaged in </w:t>
      </w:r>
      <w:r w:rsidR="00E20D99">
        <w:rPr>
          <w:rFonts w:cstheme="minorHAnsi"/>
        </w:rPr>
        <w:t>a</w:t>
      </w:r>
      <w:r w:rsidRPr="001D27C6">
        <w:rPr>
          <w:rFonts w:cstheme="minorHAnsi"/>
        </w:rPr>
        <w:t xml:space="preserve">rticles 22 and 24 of the Regulation 2017/459 (NC CAM). </w:t>
      </w:r>
    </w:p>
    <w:p w14:paraId="3364AA58" w14:textId="77777777" w:rsidR="006D033A" w:rsidRPr="001D27C6" w:rsidRDefault="006D033A" w:rsidP="006D033A">
      <w:pPr>
        <w:widowControl w:val="0"/>
        <w:suppressAutoHyphens/>
        <w:spacing w:after="120" w:line="360" w:lineRule="auto"/>
        <w:jc w:val="both"/>
        <w:rPr>
          <w:rFonts w:cstheme="minorHAnsi"/>
        </w:rPr>
      </w:pPr>
      <w:r w:rsidRPr="001D27C6">
        <w:rPr>
          <w:rFonts w:cstheme="minorHAnsi"/>
        </w:rPr>
        <w:t xml:space="preserve">DESFA, consistent with the tariff regulatory framework in place, applies floating applicable payable price derived from its reference price methodology, also to incremental capacity. </w:t>
      </w:r>
    </w:p>
    <w:p w14:paraId="4F523A99" w14:textId="77777777" w:rsidR="006D033A" w:rsidRPr="001D27C6" w:rsidRDefault="006D033A" w:rsidP="006D033A">
      <w:pPr>
        <w:widowControl w:val="0"/>
        <w:suppressAutoHyphens/>
        <w:spacing w:after="120" w:line="360" w:lineRule="auto"/>
        <w:jc w:val="both"/>
        <w:rPr>
          <w:rFonts w:cstheme="minorHAnsi"/>
        </w:rPr>
      </w:pPr>
      <w:r w:rsidRPr="001D27C6">
        <w:rPr>
          <w:rFonts w:cstheme="minorHAnsi"/>
        </w:rPr>
        <w:t>Economic test parameters for DESFA:</w:t>
      </w:r>
    </w:p>
    <w:p w14:paraId="209EEC75" w14:textId="77777777" w:rsidR="006D033A" w:rsidRPr="001D27C6" w:rsidRDefault="006D033A">
      <w:pPr>
        <w:pStyle w:val="ListParagraph"/>
        <w:widowControl w:val="0"/>
        <w:numPr>
          <w:ilvl w:val="0"/>
          <w:numId w:val="18"/>
        </w:numPr>
        <w:suppressAutoHyphens/>
        <w:spacing w:before="240" w:after="0" w:line="360" w:lineRule="auto"/>
        <w:ind w:hanging="294"/>
        <w:jc w:val="both"/>
        <w:rPr>
          <w:rFonts w:cstheme="minorHAnsi"/>
          <w:i/>
          <w:u w:val="single"/>
        </w:rPr>
      </w:pPr>
      <w:r w:rsidRPr="001D27C6">
        <w:rPr>
          <w:rFonts w:cstheme="minorHAnsi"/>
          <w:i/>
          <w:u w:val="single"/>
        </w:rPr>
        <w:t xml:space="preserve">Reference Price (Art. 22(1) lit. a No. </w:t>
      </w:r>
      <w:proofErr w:type="spellStart"/>
      <w:r w:rsidRPr="001D27C6">
        <w:rPr>
          <w:rFonts w:cstheme="minorHAnsi"/>
          <w:i/>
          <w:u w:val="single"/>
        </w:rPr>
        <w:t>i</w:t>
      </w:r>
      <w:proofErr w:type="spellEnd"/>
      <w:r w:rsidRPr="001D27C6">
        <w:rPr>
          <w:rFonts w:cstheme="minorHAnsi"/>
          <w:i/>
          <w:u w:val="single"/>
        </w:rPr>
        <w:t xml:space="preserve"> NC CAM)</w:t>
      </w:r>
    </w:p>
    <w:p w14:paraId="748F3FEF" w14:textId="77777777" w:rsidR="00EE6E02" w:rsidRDefault="006D033A" w:rsidP="006D033A">
      <w:pPr>
        <w:widowControl w:val="0"/>
        <w:suppressAutoHyphens/>
        <w:spacing w:after="120" w:line="360" w:lineRule="auto"/>
        <w:ind w:left="720"/>
        <w:jc w:val="both"/>
        <w:rPr>
          <w:rFonts w:cstheme="minorHAnsi"/>
        </w:rPr>
      </w:pPr>
      <w:r w:rsidRPr="001D27C6">
        <w:rPr>
          <w:rFonts w:cstheme="minorHAnsi"/>
        </w:rPr>
        <w:t xml:space="preserve">The tariff for the allocated capacity shall be governed by the principles and methodology detailed in the Greek Tariff Regulation as in force at any given time. Consistently with the current tariff regulatory framework, DESFA considers applying a floating reference price. </w:t>
      </w:r>
    </w:p>
    <w:p w14:paraId="16EAFFCE" w14:textId="693C068B" w:rsidR="00E316E4" w:rsidRPr="00E316E4" w:rsidRDefault="00E316E4" w:rsidP="003A3341">
      <w:pPr>
        <w:widowControl w:val="0"/>
        <w:suppressAutoHyphens/>
        <w:spacing w:after="120" w:line="360" w:lineRule="auto"/>
        <w:ind w:left="720"/>
        <w:jc w:val="both"/>
        <w:rPr>
          <w:rFonts w:cstheme="minorHAnsi"/>
        </w:rPr>
      </w:pPr>
      <w:r w:rsidRPr="00E316E4">
        <w:rPr>
          <w:rFonts w:cstheme="minorHAnsi"/>
        </w:rPr>
        <w:t xml:space="preserve">The inclusion of the Project of the Offer Level 1 in DESFA’s RAB will lead to an estimated tariff equal to 6,5026495 €/(kWh/h)/y being the Reference Price for DESFA’s calculations for the EVT. The inclusion of the Project of the Offer Level 2 in DESFA’s RAB will lead to an estimated tariff equal to 6,7453902 €/(kWh/h)/y being the Reference Price for DESFA’s calculations for the EVT but also used in the calculation of guarantees required by DESFA. For the avoidance of doubts, in all cases, the reference price effectively applied will be finally determined according to the provisions of the regulatory framework in place at the time of the transmission service and considering the actual costs incurred by the TSO. </w:t>
      </w:r>
    </w:p>
    <w:p w14:paraId="76830EE5" w14:textId="77777777" w:rsidR="006D033A" w:rsidRPr="001D27C6" w:rsidRDefault="006D033A">
      <w:pPr>
        <w:pStyle w:val="ListParagraph"/>
        <w:widowControl w:val="0"/>
        <w:numPr>
          <w:ilvl w:val="0"/>
          <w:numId w:val="18"/>
        </w:numPr>
        <w:suppressAutoHyphens/>
        <w:spacing w:before="240" w:after="0" w:line="360" w:lineRule="auto"/>
        <w:jc w:val="both"/>
        <w:rPr>
          <w:rFonts w:cstheme="minorHAnsi"/>
          <w:i/>
          <w:u w:val="single"/>
        </w:rPr>
      </w:pPr>
      <w:r w:rsidRPr="001D27C6">
        <w:rPr>
          <w:rFonts w:cstheme="minorHAnsi"/>
          <w:i/>
          <w:u w:val="single"/>
        </w:rPr>
        <w:t>Mandatory minimum premium (Art. 22 (1) lit. a. No. ii NC CAM)</w:t>
      </w:r>
    </w:p>
    <w:p w14:paraId="176CE222" w14:textId="77777777" w:rsidR="00241CE5" w:rsidRDefault="00241CE5" w:rsidP="00241CE5">
      <w:pPr>
        <w:pStyle w:val="ListParagraph"/>
        <w:widowControl w:val="0"/>
        <w:suppressAutoHyphens/>
        <w:spacing w:after="120" w:line="360" w:lineRule="auto"/>
        <w:jc w:val="both"/>
      </w:pPr>
      <w:r>
        <w:t xml:space="preserve">For the Offer Level in the direction from DESFA System towards TAP no mandatory premium is envisaged. </w:t>
      </w:r>
    </w:p>
    <w:p w14:paraId="270A5A13" w14:textId="77777777" w:rsidR="00241CE5" w:rsidRDefault="00241CE5" w:rsidP="00241CE5">
      <w:pPr>
        <w:pStyle w:val="ListParagraph"/>
        <w:widowControl w:val="0"/>
        <w:suppressAutoHyphens/>
        <w:spacing w:after="120" w:line="360" w:lineRule="auto"/>
        <w:jc w:val="both"/>
      </w:pPr>
      <w:r>
        <w:t>For Offer Level 1 in the direction from TAP towards DESFA System the mandatory minimum premium is equal to 0.131€/kwh/day/year (3.144 €/kwh/h/</w:t>
      </w:r>
      <w:proofErr w:type="spellStart"/>
      <w:r>
        <w:t>yr</w:t>
      </w:r>
      <w:proofErr w:type="spellEnd"/>
      <w:r>
        <w:t xml:space="preserve">). </w:t>
      </w:r>
    </w:p>
    <w:p w14:paraId="22C0E309" w14:textId="01013993" w:rsidR="00241CE5" w:rsidRDefault="00241CE5" w:rsidP="003A3341">
      <w:pPr>
        <w:pStyle w:val="ListParagraph"/>
        <w:widowControl w:val="0"/>
        <w:suppressAutoHyphens/>
        <w:spacing w:after="120" w:line="360" w:lineRule="auto"/>
        <w:jc w:val="both"/>
      </w:pPr>
      <w:r>
        <w:t>For Offer Level 2 in the direction from TAP towards DESFA System the mandatory minimum premium is equal to 0.08€/kwh/day/year (1.920 €/kwh/h/</w:t>
      </w:r>
      <w:proofErr w:type="spellStart"/>
      <w:r>
        <w:t>yr</w:t>
      </w:r>
      <w:proofErr w:type="spellEnd"/>
      <w:r>
        <w:t xml:space="preserve">). </w:t>
      </w:r>
    </w:p>
    <w:p w14:paraId="4293F3BF" w14:textId="77777777" w:rsidR="006D033A" w:rsidRPr="003F7C5E" w:rsidRDefault="006D033A">
      <w:pPr>
        <w:pStyle w:val="ListParagraph"/>
        <w:widowControl w:val="0"/>
        <w:numPr>
          <w:ilvl w:val="0"/>
          <w:numId w:val="18"/>
        </w:numPr>
        <w:suppressAutoHyphens/>
        <w:spacing w:before="240" w:after="0" w:line="360" w:lineRule="auto"/>
        <w:jc w:val="both"/>
        <w:rPr>
          <w:rFonts w:cstheme="minorHAnsi"/>
          <w:i/>
          <w:u w:val="single"/>
        </w:rPr>
      </w:pPr>
      <w:r w:rsidRPr="003F7C5E">
        <w:rPr>
          <w:rFonts w:cstheme="minorHAnsi"/>
          <w:i/>
          <w:u w:val="single"/>
        </w:rPr>
        <w:t>Present value of estimated increase in allowed revenue (Art. 22 (1) lit. b NC CAM)</w:t>
      </w:r>
    </w:p>
    <w:p w14:paraId="4B335484" w14:textId="65AF27C0" w:rsidR="000549C6" w:rsidRDefault="000549C6" w:rsidP="000549C6">
      <w:pPr>
        <w:widowControl w:val="0"/>
        <w:suppressAutoHyphens/>
        <w:spacing w:after="120" w:line="360" w:lineRule="auto"/>
        <w:ind w:left="720"/>
        <w:jc w:val="both"/>
        <w:rPr>
          <w:rFonts w:cstheme="minorHAnsi"/>
        </w:rPr>
      </w:pPr>
      <w:r w:rsidRPr="000549C6">
        <w:rPr>
          <w:rFonts w:cstheme="minorHAnsi"/>
        </w:rPr>
        <w:t xml:space="preserve">The present value of the estimated increase of the allowed revenues associated to the investments for Offer level 1 in the direction from TAP towards DESFA System is estimated to </w:t>
      </w:r>
      <w:r w:rsidRPr="000549C6">
        <w:rPr>
          <w:rFonts w:cstheme="minorHAnsi"/>
        </w:rPr>
        <w:lastRenderedPageBreak/>
        <w:t xml:space="preserve">approximately 93,452,093€. </w:t>
      </w:r>
    </w:p>
    <w:p w14:paraId="240B0D2D" w14:textId="5750A0BD" w:rsidR="000549C6" w:rsidRPr="000549C6" w:rsidRDefault="000549C6" w:rsidP="003A3341">
      <w:pPr>
        <w:widowControl w:val="0"/>
        <w:suppressAutoHyphens/>
        <w:spacing w:after="120" w:line="360" w:lineRule="auto"/>
        <w:ind w:left="720"/>
        <w:jc w:val="both"/>
        <w:rPr>
          <w:rFonts w:cstheme="minorHAnsi"/>
        </w:rPr>
      </w:pPr>
      <w:r w:rsidRPr="000549C6">
        <w:rPr>
          <w:rFonts w:cstheme="minorHAnsi"/>
        </w:rPr>
        <w:t xml:space="preserve">The present value of the estimated increase of the allowed revenues associated to the investments for Offer level 2 in the direction from TAP towards DESFA System is estimated to approximately 156,097,820€. </w:t>
      </w:r>
    </w:p>
    <w:p w14:paraId="6C3D7ECE" w14:textId="77777777" w:rsidR="006D033A" w:rsidRPr="00E20D99" w:rsidRDefault="006D033A">
      <w:pPr>
        <w:pStyle w:val="ListParagraph"/>
        <w:widowControl w:val="0"/>
        <w:numPr>
          <w:ilvl w:val="0"/>
          <w:numId w:val="18"/>
        </w:numPr>
        <w:suppressAutoHyphens/>
        <w:spacing w:before="240" w:after="0" w:line="360" w:lineRule="auto"/>
        <w:jc w:val="both"/>
        <w:rPr>
          <w:rFonts w:cstheme="minorHAnsi"/>
          <w:i/>
          <w:u w:val="single"/>
        </w:rPr>
      </w:pPr>
      <w:r w:rsidRPr="00E20D99">
        <w:rPr>
          <w:rFonts w:cstheme="minorHAnsi"/>
          <w:i/>
          <w:u w:val="single"/>
        </w:rPr>
        <w:t xml:space="preserve">F-factor (Art. 22 (1) </w:t>
      </w:r>
      <w:proofErr w:type="spellStart"/>
      <w:r w:rsidRPr="00E20D99">
        <w:rPr>
          <w:rFonts w:cstheme="minorHAnsi"/>
          <w:i/>
          <w:u w:val="single"/>
        </w:rPr>
        <w:t>lit.c</w:t>
      </w:r>
      <w:proofErr w:type="spellEnd"/>
      <w:r w:rsidRPr="00E20D99">
        <w:rPr>
          <w:rFonts w:cstheme="minorHAnsi"/>
          <w:i/>
          <w:u w:val="single"/>
        </w:rPr>
        <w:t xml:space="preserve"> NC CAM)</w:t>
      </w:r>
    </w:p>
    <w:p w14:paraId="4AA9087F" w14:textId="77777777" w:rsidR="000549C6" w:rsidRPr="000549C6" w:rsidRDefault="00A933FA" w:rsidP="003A3341">
      <w:pPr>
        <w:widowControl w:val="0"/>
        <w:suppressAutoHyphens/>
        <w:spacing w:after="120" w:line="360" w:lineRule="auto"/>
        <w:ind w:left="720"/>
        <w:jc w:val="both"/>
        <w:rPr>
          <w:rFonts w:cstheme="minorHAnsi"/>
        </w:rPr>
      </w:pPr>
      <w:r w:rsidRPr="000549C6">
        <w:rPr>
          <w:rFonts w:cstheme="minorHAnsi"/>
        </w:rPr>
        <w:t xml:space="preserve">The level of user commitments (f-factor) for the individual EVT on the Greek side of the IP </w:t>
      </w:r>
      <w:proofErr w:type="spellStart"/>
      <w:r w:rsidRPr="000549C6">
        <w:rPr>
          <w:rFonts w:cstheme="minorHAnsi"/>
        </w:rPr>
        <w:t>Nea</w:t>
      </w:r>
      <w:proofErr w:type="spellEnd"/>
      <w:r w:rsidRPr="000549C6">
        <w:rPr>
          <w:rFonts w:cstheme="minorHAnsi"/>
        </w:rPr>
        <w:t xml:space="preserve"> Mesimvria for the Offer Level in the direction from DESFA System towards TAP is not relevant. </w:t>
      </w:r>
    </w:p>
    <w:p w14:paraId="71CB551C" w14:textId="77777777" w:rsidR="000549C6" w:rsidRDefault="00A933FA" w:rsidP="000549C6">
      <w:pPr>
        <w:widowControl w:val="0"/>
        <w:suppressAutoHyphens/>
        <w:spacing w:after="120" w:line="360" w:lineRule="auto"/>
        <w:ind w:left="720"/>
        <w:jc w:val="both"/>
        <w:rPr>
          <w:rFonts w:cstheme="minorHAnsi"/>
        </w:rPr>
      </w:pPr>
      <w:r w:rsidRPr="000549C6">
        <w:rPr>
          <w:rFonts w:cstheme="minorHAnsi"/>
        </w:rPr>
        <w:t xml:space="preserve">The level of user commitments (f-factor) for the individual EVT on the Greek side of the IP </w:t>
      </w:r>
      <w:proofErr w:type="spellStart"/>
      <w:r w:rsidRPr="000549C6">
        <w:rPr>
          <w:rFonts w:cstheme="minorHAnsi"/>
        </w:rPr>
        <w:t>Nea</w:t>
      </w:r>
      <w:proofErr w:type="spellEnd"/>
      <w:r w:rsidRPr="000549C6">
        <w:rPr>
          <w:rFonts w:cstheme="minorHAnsi"/>
        </w:rPr>
        <w:t xml:space="preserve"> Mesimvria for Offer Level 1 in the direction from TAP towards DESFA System is equal to 0.75. </w:t>
      </w:r>
    </w:p>
    <w:p w14:paraId="12F9E96F" w14:textId="783058CB" w:rsidR="00A933FA" w:rsidRDefault="00A933FA" w:rsidP="003A3341">
      <w:pPr>
        <w:widowControl w:val="0"/>
        <w:suppressAutoHyphens/>
        <w:spacing w:after="120" w:line="360" w:lineRule="auto"/>
        <w:ind w:left="720"/>
        <w:jc w:val="both"/>
        <w:rPr>
          <w:rFonts w:cstheme="minorHAnsi"/>
        </w:rPr>
      </w:pPr>
      <w:r w:rsidRPr="000549C6">
        <w:rPr>
          <w:rFonts w:cstheme="minorHAnsi"/>
        </w:rPr>
        <w:t xml:space="preserve">The level of user commitments (f-factor) for the individual EVT on the Greek side of the IP </w:t>
      </w:r>
      <w:proofErr w:type="spellStart"/>
      <w:r w:rsidRPr="000549C6">
        <w:rPr>
          <w:rFonts w:cstheme="minorHAnsi"/>
        </w:rPr>
        <w:t>Nea</w:t>
      </w:r>
      <w:proofErr w:type="spellEnd"/>
      <w:r w:rsidRPr="000549C6">
        <w:rPr>
          <w:rFonts w:cstheme="minorHAnsi"/>
        </w:rPr>
        <w:t xml:space="preserve"> Mesimvria for Offer Level 2 in the direction from TAP towards DESFA System is equal to 0.75.</w:t>
      </w:r>
    </w:p>
    <w:p w14:paraId="7A6C0E0F" w14:textId="132EB350" w:rsidR="00D13226" w:rsidRDefault="00D13226">
      <w:pPr>
        <w:rPr>
          <w:rFonts w:cstheme="minorHAnsi"/>
          <w:b/>
          <w:sz w:val="24"/>
          <w:szCs w:val="24"/>
        </w:rPr>
      </w:pPr>
      <w:r>
        <w:br w:type="page"/>
      </w:r>
    </w:p>
    <w:p w14:paraId="79496976" w14:textId="77777777" w:rsidR="00192F18" w:rsidRPr="00192F18" w:rsidRDefault="00192F18" w:rsidP="00192F18">
      <w:pPr>
        <w:pStyle w:val="Heading3"/>
        <w:pBdr>
          <w:bottom w:val="single" w:sz="4" w:space="1" w:color="auto"/>
        </w:pBdr>
        <w:rPr>
          <w:sz w:val="36"/>
          <w:szCs w:val="36"/>
        </w:rPr>
      </w:pPr>
      <w:r w:rsidRPr="00192F18">
        <w:rPr>
          <w:sz w:val="36"/>
          <w:szCs w:val="36"/>
        </w:rPr>
        <w:lastRenderedPageBreak/>
        <w:t>ANNEX VI - Pro-forma GTA and GTA Guarantee</w:t>
      </w:r>
    </w:p>
    <w:p w14:paraId="105FC756" w14:textId="77777777" w:rsidR="00192F18" w:rsidRPr="00192F18" w:rsidRDefault="00192F18" w:rsidP="00192F18">
      <w:pPr>
        <w:widowControl w:val="0"/>
        <w:spacing w:after="0" w:line="341" w:lineRule="auto"/>
        <w:jc w:val="center"/>
        <w:rPr>
          <w:rFonts w:ascii="Calibri" w:eastAsia="Calibri" w:hAnsi="Calibri" w:cs="Calibri"/>
          <w:b/>
          <w:bCs/>
          <w:color w:val="000000"/>
          <w:sz w:val="36"/>
          <w:szCs w:val="36"/>
          <w:lang w:bidi="en-US"/>
        </w:rPr>
      </w:pPr>
    </w:p>
    <w:p w14:paraId="456EDE45" w14:textId="77777777" w:rsidR="00192F18" w:rsidRPr="00192F18" w:rsidRDefault="00192F18" w:rsidP="00192F18">
      <w:pPr>
        <w:widowControl w:val="0"/>
        <w:spacing w:after="0" w:line="341" w:lineRule="auto"/>
        <w:jc w:val="center"/>
        <w:rPr>
          <w:rFonts w:ascii="Calibri" w:eastAsia="Calibri" w:hAnsi="Calibri" w:cs="Calibri"/>
          <w:b/>
          <w:bCs/>
          <w:color w:val="000000"/>
          <w:sz w:val="36"/>
          <w:szCs w:val="36"/>
          <w:lang w:bidi="en-US"/>
        </w:rPr>
      </w:pPr>
    </w:p>
    <w:p w14:paraId="4951E777" w14:textId="77777777" w:rsidR="00192F18" w:rsidRPr="00192F18" w:rsidRDefault="00192F18" w:rsidP="00192F18">
      <w:pPr>
        <w:widowControl w:val="0"/>
        <w:spacing w:after="0" w:line="341" w:lineRule="auto"/>
        <w:jc w:val="center"/>
        <w:rPr>
          <w:rFonts w:ascii="Calibri" w:eastAsia="Calibri" w:hAnsi="Calibri" w:cs="Calibri"/>
          <w:color w:val="000000"/>
          <w:sz w:val="36"/>
          <w:szCs w:val="36"/>
          <w:lang w:eastAsia="el-GR" w:bidi="el-GR"/>
        </w:rPr>
      </w:pPr>
      <w:bookmarkStart w:id="76" w:name="_Hlk125106494"/>
      <w:r w:rsidRPr="00192F18">
        <w:rPr>
          <w:rFonts w:ascii="Calibri" w:eastAsia="Calibri" w:hAnsi="Calibri" w:cs="Calibri"/>
          <w:b/>
          <w:bCs/>
          <w:color w:val="000000"/>
          <w:sz w:val="36"/>
          <w:szCs w:val="36"/>
          <w:lang w:bidi="en-US"/>
        </w:rPr>
        <w:t>Form of</w:t>
      </w:r>
    </w:p>
    <w:p w14:paraId="6629975F" w14:textId="77777777" w:rsidR="00192F18" w:rsidRPr="00192F18" w:rsidRDefault="00192F18" w:rsidP="00192F18">
      <w:pPr>
        <w:widowControl w:val="0"/>
        <w:spacing w:after="0" w:line="341" w:lineRule="auto"/>
        <w:jc w:val="center"/>
        <w:rPr>
          <w:rFonts w:ascii="Calibri" w:eastAsia="Calibri" w:hAnsi="Calibri" w:cs="Calibri"/>
          <w:color w:val="000000"/>
          <w:sz w:val="36"/>
          <w:szCs w:val="36"/>
          <w:lang w:eastAsia="el-GR" w:bidi="el-GR"/>
        </w:rPr>
      </w:pPr>
      <w:r w:rsidRPr="00192F18">
        <w:rPr>
          <w:rFonts w:ascii="Calibri" w:eastAsia="Calibri" w:hAnsi="Calibri" w:cs="Calibri"/>
          <w:b/>
          <w:bCs/>
          <w:color w:val="000000"/>
          <w:sz w:val="36"/>
          <w:szCs w:val="36"/>
          <w:lang w:bidi="en-US"/>
        </w:rPr>
        <w:t>Gas Transportation Agreement</w:t>
      </w:r>
      <w:r w:rsidRPr="00192F18">
        <w:rPr>
          <w:rFonts w:ascii="Calibri" w:eastAsia="Calibri" w:hAnsi="Calibri" w:cs="Calibri"/>
          <w:b/>
          <w:bCs/>
          <w:color w:val="000000"/>
          <w:sz w:val="36"/>
          <w:szCs w:val="36"/>
          <w:lang w:bidi="en-US"/>
        </w:rPr>
        <w:br/>
        <w:t>relating to</w:t>
      </w:r>
    </w:p>
    <w:p w14:paraId="64A0FADD" w14:textId="77777777" w:rsidR="00192F18" w:rsidRPr="00192F18" w:rsidRDefault="00192F18" w:rsidP="00192F18">
      <w:pPr>
        <w:widowControl w:val="0"/>
        <w:spacing w:after="440" w:line="353" w:lineRule="auto"/>
        <w:jc w:val="center"/>
        <w:rPr>
          <w:rFonts w:ascii="Calibri" w:eastAsia="Calibri" w:hAnsi="Calibri" w:cs="Calibri"/>
          <w:color w:val="000000"/>
          <w:sz w:val="36"/>
          <w:szCs w:val="36"/>
          <w:lang w:eastAsia="el-GR" w:bidi="el-GR"/>
        </w:rPr>
      </w:pPr>
      <w:r w:rsidRPr="00192F18">
        <w:rPr>
          <w:rFonts w:ascii="Calibri" w:eastAsia="Calibri" w:hAnsi="Calibri" w:cs="Calibri"/>
          <w:b/>
          <w:bCs/>
          <w:color w:val="000000"/>
          <w:sz w:val="36"/>
          <w:szCs w:val="36"/>
          <w:lang w:bidi="en-US"/>
        </w:rPr>
        <w:t>the Binding Phase of the Incremental Capacity Process</w:t>
      </w:r>
      <w:r w:rsidRPr="00192F18">
        <w:rPr>
          <w:rFonts w:ascii="Calibri" w:eastAsia="Calibri" w:hAnsi="Calibri" w:cs="Calibri"/>
          <w:b/>
          <w:bCs/>
          <w:color w:val="000000"/>
          <w:sz w:val="36"/>
          <w:szCs w:val="36"/>
          <w:lang w:bidi="en-US"/>
        </w:rPr>
        <w:br/>
        <w:t>at the Interconnection Point “</w:t>
      </w:r>
      <w:proofErr w:type="spellStart"/>
      <w:r w:rsidRPr="00192F18">
        <w:rPr>
          <w:rFonts w:ascii="Calibri" w:eastAsia="Calibri" w:hAnsi="Calibri" w:cs="Calibri"/>
          <w:b/>
          <w:bCs/>
          <w:color w:val="000000"/>
          <w:sz w:val="36"/>
          <w:szCs w:val="36"/>
          <w:lang w:bidi="en-US"/>
        </w:rPr>
        <w:t>Nea</w:t>
      </w:r>
      <w:proofErr w:type="spellEnd"/>
      <w:r w:rsidRPr="00192F18">
        <w:rPr>
          <w:rFonts w:ascii="Calibri" w:eastAsia="Calibri" w:hAnsi="Calibri" w:cs="Calibri"/>
          <w:b/>
          <w:bCs/>
          <w:color w:val="000000"/>
          <w:sz w:val="36"/>
          <w:szCs w:val="36"/>
          <w:lang w:bidi="en-US"/>
        </w:rPr>
        <w:t xml:space="preserve"> Mesimvria”</w:t>
      </w:r>
      <w:r w:rsidRPr="00192F18">
        <w:rPr>
          <w:rFonts w:ascii="Calibri" w:eastAsia="Calibri" w:hAnsi="Calibri" w:cs="Calibri"/>
          <w:b/>
          <w:bCs/>
          <w:color w:val="000000"/>
          <w:sz w:val="36"/>
          <w:szCs w:val="36"/>
          <w:lang w:bidi="en-US"/>
        </w:rPr>
        <w:br/>
        <w:t>[No •]</w:t>
      </w:r>
    </w:p>
    <w:p w14:paraId="0EC4EAF2" w14:textId="77777777" w:rsidR="00192F18" w:rsidRPr="00192F18" w:rsidRDefault="00192F18" w:rsidP="00192F18">
      <w:pPr>
        <w:widowControl w:val="0"/>
        <w:spacing w:after="0" w:line="348" w:lineRule="auto"/>
        <w:jc w:val="center"/>
        <w:rPr>
          <w:rFonts w:ascii="Calibri" w:eastAsia="Calibri" w:hAnsi="Calibri" w:cs="Calibri"/>
          <w:color w:val="000000"/>
          <w:sz w:val="36"/>
          <w:szCs w:val="36"/>
          <w:lang w:eastAsia="el-GR" w:bidi="el-GR"/>
        </w:rPr>
      </w:pPr>
      <w:r w:rsidRPr="00192F18">
        <w:rPr>
          <w:rFonts w:ascii="Calibri" w:eastAsia="Calibri" w:hAnsi="Calibri" w:cs="Calibri"/>
          <w:b/>
          <w:bCs/>
          <w:color w:val="000000"/>
          <w:sz w:val="36"/>
          <w:szCs w:val="36"/>
          <w:lang w:bidi="en-US"/>
        </w:rPr>
        <w:t>between</w:t>
      </w:r>
    </w:p>
    <w:p w14:paraId="337606A7" w14:textId="77777777" w:rsidR="00192F18" w:rsidRPr="00192F18" w:rsidRDefault="00192F18" w:rsidP="00192F18">
      <w:pPr>
        <w:widowControl w:val="0"/>
        <w:spacing w:after="440" w:line="348" w:lineRule="auto"/>
        <w:jc w:val="center"/>
        <w:rPr>
          <w:rFonts w:ascii="Calibri" w:eastAsia="Calibri" w:hAnsi="Calibri" w:cs="Calibri"/>
          <w:color w:val="000000"/>
          <w:sz w:val="36"/>
          <w:szCs w:val="36"/>
          <w:lang w:eastAsia="el-GR" w:bidi="el-GR"/>
        </w:rPr>
      </w:pPr>
      <w:r w:rsidRPr="00192F18">
        <w:rPr>
          <w:rFonts w:ascii="Calibri" w:eastAsia="Calibri" w:hAnsi="Calibri" w:cs="Calibri"/>
          <w:b/>
          <w:bCs/>
          <w:color w:val="000000"/>
          <w:sz w:val="36"/>
          <w:szCs w:val="36"/>
          <w:lang w:bidi="en-US"/>
        </w:rPr>
        <w:t>DESFA SA</w:t>
      </w:r>
    </w:p>
    <w:p w14:paraId="51EA0C1C" w14:textId="77777777" w:rsidR="00192F18" w:rsidRPr="00192F18" w:rsidRDefault="00192F18" w:rsidP="00192F18">
      <w:pPr>
        <w:widowControl w:val="0"/>
        <w:spacing w:after="0" w:line="348" w:lineRule="auto"/>
        <w:jc w:val="center"/>
        <w:rPr>
          <w:rFonts w:ascii="Calibri" w:eastAsia="Calibri" w:hAnsi="Calibri" w:cs="Calibri"/>
          <w:color w:val="000000"/>
          <w:sz w:val="36"/>
          <w:szCs w:val="36"/>
          <w:lang w:eastAsia="el-GR" w:bidi="el-GR"/>
        </w:rPr>
      </w:pPr>
      <w:r w:rsidRPr="00192F18">
        <w:rPr>
          <w:rFonts w:ascii="Calibri" w:eastAsia="Calibri" w:hAnsi="Calibri" w:cs="Calibri"/>
          <w:b/>
          <w:bCs/>
          <w:color w:val="000000"/>
          <w:sz w:val="36"/>
          <w:szCs w:val="36"/>
          <w:lang w:bidi="en-US"/>
        </w:rPr>
        <w:t>- and -</w:t>
      </w:r>
    </w:p>
    <w:p w14:paraId="1ADF670A" w14:textId="77777777" w:rsidR="00192F18" w:rsidRPr="00192F18" w:rsidRDefault="00192F18" w:rsidP="00192F18">
      <w:pPr>
        <w:widowControl w:val="0"/>
        <w:spacing w:after="620" w:line="348" w:lineRule="auto"/>
        <w:jc w:val="center"/>
        <w:rPr>
          <w:rFonts w:ascii="Calibri" w:eastAsia="Calibri" w:hAnsi="Calibri" w:cs="Calibri"/>
          <w:color w:val="000000"/>
          <w:sz w:val="36"/>
          <w:szCs w:val="36"/>
          <w:lang w:eastAsia="el-GR" w:bidi="el-GR"/>
        </w:rPr>
      </w:pPr>
      <w:r w:rsidRPr="00192F18">
        <w:rPr>
          <w:rFonts w:ascii="Calibri" w:eastAsia="Calibri" w:hAnsi="Calibri" w:cs="Calibri"/>
          <w:b/>
          <w:bCs/>
          <w:i/>
          <w:iCs/>
          <w:color w:val="000000"/>
          <w:sz w:val="36"/>
          <w:szCs w:val="36"/>
          <w:lang w:bidi="en-US"/>
        </w:rPr>
        <w:t>[COMPANY: name of the Participant]</w:t>
      </w:r>
    </w:p>
    <w:p w14:paraId="0780AE72" w14:textId="77777777" w:rsidR="00192F18" w:rsidRPr="00192F18" w:rsidRDefault="00192F18" w:rsidP="00192F18">
      <w:pPr>
        <w:widowControl w:val="0"/>
        <w:spacing w:after="440" w:line="240" w:lineRule="auto"/>
        <w:jc w:val="center"/>
        <w:rPr>
          <w:rFonts w:ascii="Calibri" w:eastAsia="Calibri" w:hAnsi="Calibri" w:cs="Calibri"/>
          <w:b/>
          <w:bCs/>
          <w:color w:val="000000"/>
          <w:sz w:val="28"/>
          <w:szCs w:val="28"/>
          <w:lang w:eastAsia="el-GR" w:bidi="el-GR"/>
        </w:rPr>
      </w:pPr>
      <w:r w:rsidRPr="00192F18">
        <w:rPr>
          <w:rFonts w:ascii="Calibri" w:eastAsia="Calibri" w:hAnsi="Calibri" w:cs="Calibri"/>
          <w:b/>
          <w:bCs/>
          <w:color w:val="000000"/>
          <w:sz w:val="28"/>
          <w:szCs w:val="28"/>
          <w:lang w:bidi="en-US"/>
        </w:rPr>
        <w:t xml:space="preserve">[•] </w:t>
      </w:r>
      <w:proofErr w:type="gramStart"/>
      <w:r w:rsidRPr="00192F18">
        <w:rPr>
          <w:rFonts w:ascii="Calibri" w:eastAsia="Calibri" w:hAnsi="Calibri" w:cs="Calibri"/>
          <w:b/>
          <w:bCs/>
          <w:color w:val="000000"/>
          <w:sz w:val="28"/>
          <w:szCs w:val="28"/>
          <w:lang w:eastAsia="el-GR" w:bidi="el-GR"/>
        </w:rPr>
        <w:t>20.^</w:t>
      </w:r>
      <w:proofErr w:type="gramEnd"/>
    </w:p>
    <w:p w14:paraId="6EB10DA6" w14:textId="77777777" w:rsidR="00192F18" w:rsidRPr="00192F18" w:rsidRDefault="00192F18" w:rsidP="00192F18">
      <w:pPr>
        <w:widowControl w:val="0"/>
        <w:spacing w:after="0" w:line="240" w:lineRule="auto"/>
        <w:rPr>
          <w:rFonts w:ascii="Calibri" w:eastAsia="Calibri" w:hAnsi="Calibri" w:cs="Calibri"/>
          <w:b/>
          <w:bCs/>
          <w:color w:val="000000"/>
          <w:sz w:val="28"/>
          <w:szCs w:val="28"/>
          <w:lang w:eastAsia="el-GR" w:bidi="el-GR"/>
        </w:rPr>
      </w:pPr>
      <w:r w:rsidRPr="00192F18">
        <w:rPr>
          <w:rFonts w:ascii="Calibri" w:eastAsia="Calibri" w:hAnsi="Calibri" w:cs="Calibri"/>
          <w:b/>
          <w:bCs/>
          <w:color w:val="000000"/>
          <w:sz w:val="28"/>
          <w:szCs w:val="28"/>
          <w:lang w:eastAsia="el-GR" w:bidi="el-GR"/>
        </w:rPr>
        <w:br w:type="page"/>
      </w:r>
    </w:p>
    <w:p w14:paraId="19658907" w14:textId="77777777" w:rsidR="00192F18" w:rsidRPr="00192F18" w:rsidRDefault="00192F18" w:rsidP="00192F18">
      <w:pPr>
        <w:keepNext/>
        <w:keepLines/>
        <w:widowControl w:val="0"/>
        <w:tabs>
          <w:tab w:val="left" w:pos="5170"/>
          <w:tab w:val="left" w:pos="6946"/>
        </w:tabs>
        <w:spacing w:after="0" w:line="254" w:lineRule="auto"/>
        <w:jc w:val="both"/>
        <w:outlineLvl w:val="3"/>
        <w:rPr>
          <w:rFonts w:ascii="Calibri" w:eastAsia="Calibri" w:hAnsi="Calibri" w:cs="Calibri"/>
          <w:b/>
          <w:bCs/>
          <w:color w:val="000000"/>
          <w:sz w:val="24"/>
          <w:szCs w:val="24"/>
          <w:lang w:bidi="en-US"/>
        </w:rPr>
      </w:pPr>
      <w:bookmarkStart w:id="77" w:name="bookmark24"/>
      <w:r w:rsidRPr="00192F18">
        <w:rPr>
          <w:rFonts w:ascii="Calibri" w:eastAsia="Calibri" w:hAnsi="Calibri" w:cs="Calibri"/>
          <w:b/>
          <w:bCs/>
          <w:color w:val="000000"/>
          <w:sz w:val="24"/>
          <w:szCs w:val="24"/>
          <w:lang w:bidi="en-US"/>
        </w:rPr>
        <w:lastRenderedPageBreak/>
        <w:t xml:space="preserve">THIS GAS TRANSPORTATION AGREEMENT </w:t>
      </w:r>
      <w:r w:rsidRPr="00192F18">
        <w:rPr>
          <w:rFonts w:ascii="Calibri" w:eastAsia="Calibri" w:hAnsi="Calibri" w:cs="Calibri"/>
          <w:color w:val="000000"/>
          <w:sz w:val="24"/>
          <w:szCs w:val="24"/>
          <w:lang w:bidi="en-US"/>
        </w:rPr>
        <w:t>(“</w:t>
      </w:r>
      <w:r w:rsidRPr="00192F18">
        <w:rPr>
          <w:rFonts w:ascii="Calibri" w:eastAsia="Calibri" w:hAnsi="Calibri" w:cs="Calibri"/>
          <w:b/>
          <w:bCs/>
          <w:color w:val="000000"/>
          <w:sz w:val="24"/>
          <w:szCs w:val="24"/>
          <w:lang w:bidi="en-US"/>
        </w:rPr>
        <w:t>Agreement</w:t>
      </w:r>
      <w:r w:rsidRPr="00192F18">
        <w:rPr>
          <w:rFonts w:ascii="Calibri" w:eastAsia="Calibri" w:hAnsi="Calibri" w:cs="Calibri"/>
          <w:color w:val="000000"/>
          <w:sz w:val="24"/>
          <w:szCs w:val="24"/>
          <w:lang w:bidi="en-US"/>
        </w:rPr>
        <w:t>”) is made on</w:t>
      </w:r>
      <w:bookmarkEnd w:id="77"/>
      <w:r w:rsidRPr="00192F18">
        <w:rPr>
          <w:rFonts w:ascii="Calibri" w:eastAsia="Calibri" w:hAnsi="Calibri" w:cs="Calibri"/>
          <w:color w:val="000000"/>
          <w:sz w:val="24"/>
          <w:szCs w:val="24"/>
          <w:lang w:bidi="en-US"/>
        </w:rPr>
        <w:t xml:space="preserve"> the</w:t>
      </w:r>
      <w:bookmarkStart w:id="78" w:name="_Hlk115946354"/>
      <w:r w:rsidRPr="00192F18">
        <w:rPr>
          <w:rFonts w:ascii="Calibri" w:eastAsia="Calibri" w:hAnsi="Calibri" w:cs="Calibri"/>
          <w:b/>
          <w:bCs/>
          <w:color w:val="000000"/>
          <w:sz w:val="24"/>
          <w:szCs w:val="24"/>
          <w:lang w:bidi="en-US"/>
        </w:rPr>
        <w:t>……………………</w:t>
      </w:r>
      <w:bookmarkEnd w:id="78"/>
      <w:r w:rsidRPr="00192F18">
        <w:rPr>
          <w:rFonts w:ascii="Calibri" w:eastAsia="Calibri" w:hAnsi="Calibri" w:cs="Calibri"/>
          <w:color w:val="000000"/>
          <w:sz w:val="24"/>
          <w:szCs w:val="24"/>
          <w:lang w:bidi="en-US"/>
        </w:rPr>
        <w:t>by and between</w:t>
      </w:r>
      <w:r w:rsidRPr="00192F18">
        <w:rPr>
          <w:rFonts w:ascii="Calibri" w:eastAsia="Calibri" w:hAnsi="Calibri" w:cs="Calibri"/>
          <w:b/>
          <w:bCs/>
          <w:color w:val="000000"/>
          <w:sz w:val="24"/>
          <w:szCs w:val="24"/>
          <w:lang w:bidi="en-US"/>
        </w:rPr>
        <w:t>:</w:t>
      </w:r>
    </w:p>
    <w:p w14:paraId="67467E6C" w14:textId="77777777" w:rsidR="00192F18" w:rsidRPr="00192F18" w:rsidRDefault="00192F18">
      <w:pPr>
        <w:widowControl w:val="0"/>
        <w:numPr>
          <w:ilvl w:val="0"/>
          <w:numId w:val="40"/>
        </w:numPr>
        <w:tabs>
          <w:tab w:val="left" w:pos="430"/>
        </w:tabs>
        <w:spacing w:after="0" w:line="271"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Hellenic Gas Transmission System Operator </w:t>
      </w:r>
      <w:proofErr w:type="spellStart"/>
      <w:r w:rsidRPr="00192F18">
        <w:rPr>
          <w:rFonts w:ascii="Calibri" w:eastAsia="Calibri" w:hAnsi="Calibri" w:cs="Calibri"/>
          <w:color w:val="000000"/>
          <w:sz w:val="24"/>
          <w:szCs w:val="24"/>
          <w:lang w:bidi="en-US"/>
        </w:rPr>
        <w:t>Societe</w:t>
      </w:r>
      <w:proofErr w:type="spellEnd"/>
      <w:r w:rsidRPr="00192F18">
        <w:rPr>
          <w:rFonts w:ascii="Calibri" w:eastAsia="Calibri" w:hAnsi="Calibri" w:cs="Calibri"/>
          <w:color w:val="000000"/>
          <w:sz w:val="24"/>
          <w:szCs w:val="24"/>
          <w:lang w:bidi="en-US"/>
        </w:rPr>
        <w:t xml:space="preserve"> Anonyme, a company incorporated and existing under the laws of the Hellenic Republic, having its headquarters and registered office at 357-359 </w:t>
      </w:r>
      <w:proofErr w:type="spellStart"/>
      <w:r w:rsidRPr="00192F18">
        <w:rPr>
          <w:rFonts w:ascii="Calibri" w:eastAsia="Calibri" w:hAnsi="Calibri" w:cs="Calibri"/>
          <w:color w:val="000000"/>
          <w:sz w:val="24"/>
          <w:szCs w:val="24"/>
          <w:lang w:bidi="en-US"/>
        </w:rPr>
        <w:t>Messogion</w:t>
      </w:r>
      <w:proofErr w:type="spellEnd"/>
      <w:r w:rsidRPr="00192F18">
        <w:rPr>
          <w:rFonts w:ascii="Calibri" w:eastAsia="Calibri" w:hAnsi="Calibri" w:cs="Calibri"/>
          <w:color w:val="000000"/>
          <w:sz w:val="24"/>
          <w:szCs w:val="24"/>
          <w:lang w:bidi="en-US"/>
        </w:rPr>
        <w:t xml:space="preserve"> Avenue, </w:t>
      </w:r>
      <w:proofErr w:type="spellStart"/>
      <w:r w:rsidRPr="00192F18">
        <w:rPr>
          <w:rFonts w:ascii="Calibri" w:eastAsia="Calibri" w:hAnsi="Calibri" w:cs="Calibri"/>
          <w:color w:val="000000"/>
          <w:sz w:val="24"/>
          <w:szCs w:val="24"/>
          <w:lang w:bidi="en-US"/>
        </w:rPr>
        <w:t>Halandri</w:t>
      </w:r>
      <w:proofErr w:type="spellEnd"/>
      <w:r w:rsidRPr="00192F18">
        <w:rPr>
          <w:rFonts w:ascii="Calibri" w:eastAsia="Calibri" w:hAnsi="Calibri" w:cs="Calibri"/>
          <w:color w:val="000000"/>
          <w:sz w:val="24"/>
          <w:szCs w:val="24"/>
          <w:lang w:bidi="en-US"/>
        </w:rPr>
        <w:t>, GR-152 31, registered under the Business Registry number (GEMI) 7483601000 (“</w:t>
      </w:r>
      <w:r w:rsidRPr="00192F18">
        <w:rPr>
          <w:rFonts w:ascii="Calibri" w:eastAsia="Calibri" w:hAnsi="Calibri" w:cs="Calibri"/>
          <w:b/>
          <w:bCs/>
          <w:color w:val="000000"/>
          <w:sz w:val="24"/>
          <w:szCs w:val="24"/>
          <w:lang w:bidi="en-US"/>
        </w:rPr>
        <w:t>DESFA</w:t>
      </w:r>
      <w:r w:rsidRPr="00192F18">
        <w:rPr>
          <w:rFonts w:ascii="Calibri" w:eastAsia="Calibri" w:hAnsi="Calibri" w:cs="Calibri"/>
          <w:color w:val="000000"/>
          <w:sz w:val="24"/>
          <w:szCs w:val="24"/>
          <w:lang w:bidi="en-US"/>
        </w:rPr>
        <w:t>”), duly represented by [•]; and</w:t>
      </w:r>
    </w:p>
    <w:p w14:paraId="166CEDDF" w14:textId="77777777" w:rsidR="00192F18" w:rsidRPr="00192F18" w:rsidRDefault="00192F18">
      <w:pPr>
        <w:widowControl w:val="0"/>
        <w:numPr>
          <w:ilvl w:val="0"/>
          <w:numId w:val="40"/>
        </w:numPr>
        <w:tabs>
          <w:tab w:val="left" w:pos="430"/>
        </w:tabs>
        <w:spacing w:after="340" w:line="271"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a company incorporated and existing under the laws of [•], having its headquarters and registered office at [•], registered under the Business Registry number [•] (the "</w:t>
      </w:r>
      <w:r w:rsidRPr="00192F18">
        <w:rPr>
          <w:rFonts w:ascii="Calibri" w:eastAsia="Calibri" w:hAnsi="Calibri" w:cs="Calibri"/>
          <w:b/>
          <w:bCs/>
          <w:color w:val="000000"/>
          <w:sz w:val="24"/>
          <w:szCs w:val="24"/>
          <w:lang w:bidi="en-US"/>
        </w:rPr>
        <w:t>Company</w:t>
      </w:r>
      <w:r w:rsidRPr="00192F18">
        <w:rPr>
          <w:rFonts w:ascii="Calibri" w:eastAsia="Calibri" w:hAnsi="Calibri" w:cs="Calibri"/>
          <w:color w:val="000000"/>
          <w:sz w:val="24"/>
          <w:szCs w:val="24"/>
          <w:lang w:bidi="en-US"/>
        </w:rPr>
        <w:t>"), duly represented by [•</w:t>
      </w:r>
      <w:proofErr w:type="gramStart"/>
      <w:r w:rsidRPr="00192F18">
        <w:rPr>
          <w:rFonts w:ascii="Calibri" w:eastAsia="Calibri" w:hAnsi="Calibri" w:cs="Calibri"/>
          <w:color w:val="000000"/>
          <w:sz w:val="24"/>
          <w:szCs w:val="24"/>
          <w:lang w:bidi="en-US"/>
        </w:rPr>
        <w:t>];</w:t>
      </w:r>
      <w:proofErr w:type="gramEnd"/>
    </w:p>
    <w:p w14:paraId="6BEE486B" w14:textId="77777777" w:rsidR="00192F18" w:rsidRPr="00192F18" w:rsidRDefault="00192F18" w:rsidP="00192F18">
      <w:pPr>
        <w:widowControl w:val="0"/>
        <w:spacing w:after="340" w:line="254" w:lineRule="auto"/>
        <w:ind w:left="440"/>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The above parties may also be referred as “</w:t>
      </w:r>
      <w:r w:rsidRPr="00192F18">
        <w:rPr>
          <w:rFonts w:ascii="Calibri" w:eastAsia="Calibri" w:hAnsi="Calibri" w:cs="Calibri"/>
          <w:b/>
          <w:bCs/>
          <w:color w:val="000000"/>
          <w:sz w:val="24"/>
          <w:szCs w:val="24"/>
          <w:lang w:bidi="en-US"/>
        </w:rPr>
        <w:t>Party</w:t>
      </w:r>
      <w:r w:rsidRPr="00192F18">
        <w:rPr>
          <w:rFonts w:ascii="Calibri" w:eastAsia="Calibri" w:hAnsi="Calibri" w:cs="Calibri"/>
          <w:color w:val="000000"/>
          <w:sz w:val="24"/>
          <w:szCs w:val="24"/>
          <w:lang w:bidi="en-US"/>
        </w:rPr>
        <w:t>” and collectively as “</w:t>
      </w:r>
      <w:r w:rsidRPr="00192F18">
        <w:rPr>
          <w:rFonts w:ascii="Calibri" w:eastAsia="Calibri" w:hAnsi="Calibri" w:cs="Calibri"/>
          <w:b/>
          <w:bCs/>
          <w:color w:val="000000"/>
          <w:sz w:val="24"/>
          <w:szCs w:val="24"/>
          <w:lang w:bidi="en-US"/>
        </w:rPr>
        <w:t>Parties</w:t>
      </w:r>
      <w:r w:rsidRPr="00192F18">
        <w:rPr>
          <w:rFonts w:ascii="Calibri" w:eastAsia="Calibri" w:hAnsi="Calibri" w:cs="Calibri"/>
          <w:color w:val="000000"/>
          <w:sz w:val="24"/>
          <w:szCs w:val="24"/>
          <w:lang w:bidi="en-US"/>
        </w:rPr>
        <w:t>”.</w:t>
      </w:r>
    </w:p>
    <w:p w14:paraId="2F5D2ADB" w14:textId="77777777" w:rsidR="00192F18" w:rsidRPr="00192F18" w:rsidRDefault="00192F18" w:rsidP="00192F18">
      <w:pPr>
        <w:keepNext/>
        <w:keepLines/>
        <w:widowControl w:val="0"/>
        <w:spacing w:after="600" w:line="254" w:lineRule="auto"/>
        <w:jc w:val="both"/>
        <w:outlineLvl w:val="3"/>
        <w:rPr>
          <w:rFonts w:ascii="Calibri" w:eastAsia="Calibri" w:hAnsi="Calibri" w:cs="Calibri"/>
          <w:b/>
          <w:bCs/>
          <w:color w:val="000000"/>
          <w:sz w:val="24"/>
          <w:szCs w:val="24"/>
          <w:lang w:bidi="en-US"/>
        </w:rPr>
      </w:pPr>
      <w:bookmarkStart w:id="79" w:name="bookmark26"/>
      <w:r w:rsidRPr="00192F18">
        <w:rPr>
          <w:rFonts w:ascii="Calibri" w:eastAsia="Calibri" w:hAnsi="Calibri" w:cs="Calibri"/>
          <w:b/>
          <w:bCs/>
          <w:color w:val="000000"/>
          <w:sz w:val="24"/>
          <w:szCs w:val="24"/>
          <w:lang w:bidi="en-US"/>
        </w:rPr>
        <w:t>WHEREAS</w:t>
      </w:r>
      <w:bookmarkEnd w:id="79"/>
    </w:p>
    <w:p w14:paraId="2441E24F" w14:textId="77777777" w:rsidR="00192F18" w:rsidRPr="00192F18" w:rsidRDefault="00192F18">
      <w:pPr>
        <w:widowControl w:val="0"/>
        <w:numPr>
          <w:ilvl w:val="0"/>
          <w:numId w:val="41"/>
        </w:numPr>
        <w:tabs>
          <w:tab w:val="left" w:pos="781"/>
        </w:tabs>
        <w:spacing w:after="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DESFA intends to implement the appropriate infrastructure developments of the DESFA System in order to offer incremental capacity at the Interconnection Point </w:t>
      </w:r>
      <w:proofErr w:type="spellStart"/>
      <w:r w:rsidRPr="00192F18">
        <w:rPr>
          <w:rFonts w:ascii="Calibri" w:eastAsia="Calibri" w:hAnsi="Calibri" w:cs="Calibri"/>
          <w:color w:val="000000"/>
          <w:sz w:val="24"/>
          <w:szCs w:val="24"/>
          <w:lang w:bidi="en-US"/>
        </w:rPr>
        <w:t>Nea</w:t>
      </w:r>
      <w:proofErr w:type="spellEnd"/>
      <w:r w:rsidRPr="00192F18">
        <w:rPr>
          <w:rFonts w:ascii="Calibri" w:eastAsia="Calibri" w:hAnsi="Calibri" w:cs="Calibri"/>
          <w:color w:val="000000"/>
          <w:sz w:val="24"/>
          <w:szCs w:val="24"/>
          <w:lang w:bidi="en-US"/>
        </w:rPr>
        <w:t xml:space="preserve"> Mesimvria according to the Project Proposal, Section A.2.DESFA, </w:t>
      </w:r>
      <w:r w:rsidRPr="00192F18">
        <w:rPr>
          <w:rFonts w:ascii="Calibri" w:eastAsia="Calibri" w:hAnsi="Calibri" w:cs="Calibri"/>
          <w:i/>
          <w:iCs/>
          <w:color w:val="000000"/>
          <w:sz w:val="24"/>
          <w:szCs w:val="24"/>
          <w:lang w:bidi="en-US"/>
        </w:rPr>
        <w:t>[choose among (</w:t>
      </w:r>
      <w:proofErr w:type="spellStart"/>
      <w:r w:rsidRPr="00192F18">
        <w:rPr>
          <w:rFonts w:ascii="Calibri" w:eastAsia="Calibri" w:hAnsi="Calibri" w:cs="Calibri"/>
          <w:i/>
          <w:iCs/>
          <w:color w:val="000000"/>
          <w:sz w:val="24"/>
          <w:szCs w:val="24"/>
          <w:lang w:bidi="en-US"/>
        </w:rPr>
        <w:t>i</w:t>
      </w:r>
      <w:proofErr w:type="spellEnd"/>
      <w:r w:rsidRPr="00192F18">
        <w:rPr>
          <w:rFonts w:ascii="Calibri" w:eastAsia="Calibri" w:hAnsi="Calibri" w:cs="Calibri"/>
          <w:i/>
          <w:iCs/>
          <w:color w:val="000000"/>
          <w:sz w:val="24"/>
          <w:szCs w:val="24"/>
          <w:lang w:bidi="en-US"/>
        </w:rPr>
        <w:t>) to (iii) as appropriate and delete the remaining cases: (</w:t>
      </w:r>
      <w:proofErr w:type="spellStart"/>
      <w:r w:rsidRPr="00192F18">
        <w:rPr>
          <w:rFonts w:ascii="Calibri" w:eastAsia="Calibri" w:hAnsi="Calibri" w:cs="Calibri"/>
          <w:i/>
          <w:iCs/>
          <w:color w:val="000000"/>
          <w:sz w:val="24"/>
          <w:szCs w:val="24"/>
          <w:lang w:bidi="en-US"/>
        </w:rPr>
        <w:t>i</w:t>
      </w:r>
      <w:proofErr w:type="spellEnd"/>
      <w:r w:rsidRPr="00192F18">
        <w:rPr>
          <w:rFonts w:ascii="Calibri" w:eastAsia="Calibri" w:hAnsi="Calibri" w:cs="Calibri"/>
          <w:i/>
          <w:iCs/>
          <w:color w:val="000000"/>
          <w:sz w:val="24"/>
          <w:szCs w:val="24"/>
          <w:lang w:bidi="en-US"/>
        </w:rPr>
        <w:t xml:space="preserve">) “Exit capacity at </w:t>
      </w:r>
      <w:proofErr w:type="spellStart"/>
      <w:r w:rsidRPr="00192F18">
        <w:rPr>
          <w:rFonts w:ascii="Calibri" w:eastAsia="Calibri" w:hAnsi="Calibri" w:cs="Calibri"/>
          <w:i/>
          <w:iCs/>
          <w:color w:val="000000"/>
          <w:sz w:val="24"/>
          <w:szCs w:val="24"/>
          <w:lang w:bidi="en-US"/>
        </w:rPr>
        <w:t>Nea</w:t>
      </w:r>
      <w:proofErr w:type="spellEnd"/>
      <w:r w:rsidRPr="00192F18">
        <w:rPr>
          <w:rFonts w:ascii="Calibri" w:eastAsia="Calibri" w:hAnsi="Calibri" w:cs="Calibri"/>
          <w:i/>
          <w:iCs/>
          <w:color w:val="000000"/>
          <w:sz w:val="24"/>
          <w:szCs w:val="24"/>
          <w:lang w:bidi="en-US"/>
        </w:rPr>
        <w:t xml:space="preserve"> Mesimvria Level 1”, (ii) “Entry capacity at </w:t>
      </w:r>
      <w:proofErr w:type="spellStart"/>
      <w:r w:rsidRPr="00192F18">
        <w:rPr>
          <w:rFonts w:ascii="Calibri" w:eastAsia="Calibri" w:hAnsi="Calibri" w:cs="Calibri"/>
          <w:i/>
          <w:iCs/>
          <w:color w:val="000000"/>
          <w:sz w:val="24"/>
          <w:szCs w:val="24"/>
          <w:lang w:bidi="en-US"/>
        </w:rPr>
        <w:t>Nea</w:t>
      </w:r>
      <w:proofErr w:type="spellEnd"/>
      <w:r w:rsidRPr="00192F18">
        <w:rPr>
          <w:rFonts w:ascii="Calibri" w:eastAsia="Calibri" w:hAnsi="Calibri" w:cs="Calibri"/>
          <w:i/>
          <w:iCs/>
          <w:color w:val="000000"/>
          <w:sz w:val="24"/>
          <w:szCs w:val="24"/>
          <w:lang w:bidi="en-US"/>
        </w:rPr>
        <w:t xml:space="preserve"> Mesimvria Level 1”, or (iii) “Entry capacity at </w:t>
      </w:r>
      <w:proofErr w:type="spellStart"/>
      <w:r w:rsidRPr="00192F18">
        <w:rPr>
          <w:rFonts w:ascii="Calibri" w:eastAsia="Calibri" w:hAnsi="Calibri" w:cs="Calibri"/>
          <w:i/>
          <w:iCs/>
          <w:color w:val="000000"/>
          <w:sz w:val="24"/>
          <w:szCs w:val="24"/>
          <w:lang w:bidi="en-US"/>
        </w:rPr>
        <w:t>Nea</w:t>
      </w:r>
      <w:proofErr w:type="spellEnd"/>
      <w:r w:rsidRPr="00192F18">
        <w:rPr>
          <w:rFonts w:ascii="Calibri" w:eastAsia="Calibri" w:hAnsi="Calibri" w:cs="Calibri"/>
          <w:i/>
          <w:iCs/>
          <w:color w:val="000000"/>
          <w:sz w:val="24"/>
          <w:szCs w:val="24"/>
          <w:lang w:bidi="en-US"/>
        </w:rPr>
        <w:t xml:space="preserve"> Mesimvria Level 2”]</w:t>
      </w:r>
      <w:r w:rsidRPr="00192F18">
        <w:rPr>
          <w:rFonts w:ascii="Calibri" w:eastAsia="Calibri" w:hAnsi="Calibri" w:cs="Calibri"/>
          <w:color w:val="000000"/>
          <w:sz w:val="24"/>
          <w:szCs w:val="24"/>
          <w:lang w:bidi="en-US"/>
        </w:rPr>
        <w:t xml:space="preserve"> (“</w:t>
      </w:r>
      <w:r w:rsidRPr="00192F18">
        <w:rPr>
          <w:rFonts w:ascii="Calibri" w:eastAsia="Calibri" w:hAnsi="Calibri" w:cs="Calibri"/>
          <w:b/>
          <w:bCs/>
          <w:color w:val="000000"/>
          <w:sz w:val="24"/>
          <w:szCs w:val="24"/>
          <w:lang w:bidi="en-US"/>
        </w:rPr>
        <w:t>DESFA Part of the Project</w:t>
      </w:r>
      <w:r w:rsidRPr="00192F18">
        <w:rPr>
          <w:rFonts w:ascii="Calibri" w:eastAsia="Calibri" w:hAnsi="Calibri" w:cs="Calibri"/>
          <w:color w:val="000000"/>
          <w:sz w:val="24"/>
          <w:szCs w:val="24"/>
          <w:lang w:bidi="en-US"/>
        </w:rPr>
        <w:t>”).</w:t>
      </w:r>
    </w:p>
    <w:p w14:paraId="0E93C6DF" w14:textId="77777777" w:rsidR="00192F18" w:rsidRPr="00192F18" w:rsidRDefault="00192F18">
      <w:pPr>
        <w:widowControl w:val="0"/>
        <w:numPr>
          <w:ilvl w:val="0"/>
          <w:numId w:val="41"/>
        </w:numPr>
        <w:tabs>
          <w:tab w:val="left" w:pos="781"/>
        </w:tabs>
        <w:spacing w:after="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TAP AG intends to implement the appropriate infrastructure developments of the TAP System in order to offer incremental capacity, inter alia, at the Interconnection Point </w:t>
      </w:r>
      <w:proofErr w:type="spellStart"/>
      <w:r w:rsidRPr="00192F18">
        <w:rPr>
          <w:rFonts w:ascii="Calibri" w:eastAsia="Calibri" w:hAnsi="Calibri" w:cs="Calibri"/>
          <w:color w:val="000000"/>
          <w:sz w:val="24"/>
          <w:szCs w:val="24"/>
          <w:lang w:bidi="en-US"/>
        </w:rPr>
        <w:t>Nea</w:t>
      </w:r>
      <w:proofErr w:type="spellEnd"/>
      <w:r w:rsidRPr="00192F18">
        <w:rPr>
          <w:rFonts w:ascii="Calibri" w:eastAsia="Calibri" w:hAnsi="Calibri" w:cs="Calibri"/>
          <w:color w:val="000000"/>
          <w:sz w:val="24"/>
          <w:szCs w:val="24"/>
          <w:lang w:bidi="en-US"/>
        </w:rPr>
        <w:t xml:space="preserve"> Mesimvria according to the Project Proposal.</w:t>
      </w:r>
    </w:p>
    <w:p w14:paraId="56410824" w14:textId="77777777" w:rsidR="00192F18" w:rsidRPr="00192F18" w:rsidRDefault="00192F18">
      <w:pPr>
        <w:widowControl w:val="0"/>
        <w:numPr>
          <w:ilvl w:val="0"/>
          <w:numId w:val="41"/>
        </w:numPr>
        <w:tabs>
          <w:tab w:val="left" w:pos="781"/>
        </w:tabs>
        <w:spacing w:after="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The Company is a Transmission User and has concluded with DESFA the Transmission Framework Agreement number </w:t>
      </w:r>
      <w:r w:rsidRPr="00192F18">
        <w:rPr>
          <w:rFonts w:ascii="Calibri" w:eastAsia="Calibri" w:hAnsi="Calibri" w:cs="Calibri"/>
          <w:i/>
          <w:iCs/>
          <w:color w:val="000000"/>
          <w:sz w:val="24"/>
          <w:szCs w:val="24"/>
          <w:lang w:bidi="en-US"/>
        </w:rPr>
        <w:t>[insert TFA number]</w:t>
      </w:r>
      <w:r w:rsidRPr="00192F18">
        <w:rPr>
          <w:rFonts w:ascii="Calibri" w:eastAsia="Calibri" w:hAnsi="Calibri" w:cs="Calibri"/>
          <w:color w:val="000000"/>
          <w:sz w:val="24"/>
          <w:szCs w:val="24"/>
          <w:lang w:bidi="en-US"/>
        </w:rPr>
        <w:t>.</w:t>
      </w:r>
    </w:p>
    <w:p w14:paraId="17E23096" w14:textId="77777777" w:rsidR="00192F18" w:rsidRPr="00192F18" w:rsidRDefault="00192F18">
      <w:pPr>
        <w:widowControl w:val="0"/>
        <w:numPr>
          <w:ilvl w:val="0"/>
          <w:numId w:val="41"/>
        </w:numPr>
        <w:tabs>
          <w:tab w:val="left" w:pos="781"/>
        </w:tabs>
        <w:spacing w:after="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The Company has successfully participated in the Binding Phase of the Incremental Capacity Process according to the Project Proposal and the Binding Phase notice and has been Allocated Capacity at DESFA’s Side of the Interconnection Point </w:t>
      </w:r>
      <w:proofErr w:type="spellStart"/>
      <w:r w:rsidRPr="00192F18">
        <w:rPr>
          <w:rFonts w:ascii="Calibri" w:eastAsia="Calibri" w:hAnsi="Calibri" w:cs="Calibri"/>
          <w:color w:val="000000"/>
          <w:sz w:val="24"/>
          <w:szCs w:val="24"/>
          <w:lang w:bidi="en-US"/>
        </w:rPr>
        <w:t>Nea</w:t>
      </w:r>
      <w:proofErr w:type="spellEnd"/>
      <w:r w:rsidRPr="00192F18">
        <w:rPr>
          <w:rFonts w:ascii="Calibri" w:eastAsia="Calibri" w:hAnsi="Calibri" w:cs="Calibri"/>
          <w:color w:val="000000"/>
          <w:sz w:val="24"/>
          <w:szCs w:val="24"/>
          <w:lang w:bidi="en-US"/>
        </w:rPr>
        <w:t xml:space="preserve"> Mesimvria (“</w:t>
      </w:r>
      <w:r w:rsidRPr="00192F18">
        <w:rPr>
          <w:rFonts w:ascii="Calibri" w:eastAsia="Calibri" w:hAnsi="Calibri" w:cs="Calibri"/>
          <w:b/>
          <w:bCs/>
          <w:color w:val="000000"/>
          <w:sz w:val="24"/>
          <w:szCs w:val="24"/>
          <w:lang w:bidi="en-US"/>
        </w:rPr>
        <w:t xml:space="preserve">IP </w:t>
      </w:r>
      <w:proofErr w:type="spellStart"/>
      <w:r w:rsidRPr="00192F18">
        <w:rPr>
          <w:rFonts w:ascii="Calibri" w:eastAsia="Calibri" w:hAnsi="Calibri" w:cs="Calibri"/>
          <w:b/>
          <w:bCs/>
          <w:color w:val="000000"/>
          <w:sz w:val="24"/>
          <w:szCs w:val="24"/>
          <w:lang w:bidi="en-US"/>
        </w:rPr>
        <w:t>Nea</w:t>
      </w:r>
      <w:proofErr w:type="spellEnd"/>
      <w:r w:rsidRPr="00192F18">
        <w:rPr>
          <w:rFonts w:ascii="Calibri" w:eastAsia="Calibri" w:hAnsi="Calibri" w:cs="Calibri"/>
          <w:b/>
          <w:bCs/>
          <w:color w:val="000000"/>
          <w:sz w:val="24"/>
          <w:szCs w:val="24"/>
          <w:lang w:bidi="en-US"/>
        </w:rPr>
        <w:t xml:space="preserve"> Mesimvria</w:t>
      </w:r>
      <w:r w:rsidRPr="00192F18">
        <w:rPr>
          <w:rFonts w:ascii="Calibri" w:eastAsia="Calibri" w:hAnsi="Calibri" w:cs="Calibri"/>
          <w:color w:val="000000"/>
          <w:sz w:val="24"/>
          <w:szCs w:val="24"/>
          <w:lang w:bidi="en-US"/>
        </w:rPr>
        <w:t>”) pursuant to the Transportation Confirmation number [•].</w:t>
      </w:r>
    </w:p>
    <w:p w14:paraId="5B6EA65C" w14:textId="77777777" w:rsidR="00192F18" w:rsidRPr="00192F18" w:rsidRDefault="00192F18">
      <w:pPr>
        <w:widowControl w:val="0"/>
        <w:numPr>
          <w:ilvl w:val="0"/>
          <w:numId w:val="41"/>
        </w:numPr>
        <w:tabs>
          <w:tab w:val="left" w:pos="781"/>
        </w:tabs>
        <w:spacing w:after="44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DESFA intends to provide the Allocated Capacity to the Company at the IP </w:t>
      </w:r>
      <w:proofErr w:type="spellStart"/>
      <w:r w:rsidRPr="00192F18">
        <w:rPr>
          <w:rFonts w:ascii="Calibri" w:eastAsia="Calibri" w:hAnsi="Calibri" w:cs="Calibri"/>
          <w:color w:val="000000"/>
          <w:sz w:val="24"/>
          <w:szCs w:val="24"/>
          <w:lang w:bidi="en-US"/>
        </w:rPr>
        <w:t>Nea</w:t>
      </w:r>
      <w:proofErr w:type="spellEnd"/>
      <w:r w:rsidRPr="00192F18">
        <w:rPr>
          <w:rFonts w:ascii="Calibri" w:eastAsia="Calibri" w:hAnsi="Calibri" w:cs="Calibri"/>
          <w:color w:val="000000"/>
          <w:sz w:val="24"/>
          <w:szCs w:val="24"/>
          <w:lang w:bidi="en-US"/>
        </w:rPr>
        <w:t xml:space="preserve"> Mesimvria, starting from the Commercial Operation Date, pursuant to applicable Greek Law in force at the time of Commercial Operation Date, subject to the terms of this Agreement.</w:t>
      </w:r>
    </w:p>
    <w:p w14:paraId="3EF0F648" w14:textId="77777777" w:rsidR="00192F18" w:rsidRPr="00192F18" w:rsidRDefault="00192F18" w:rsidP="00192F18">
      <w:pPr>
        <w:widowControl w:val="0"/>
        <w:spacing w:after="600" w:line="254" w:lineRule="auto"/>
        <w:ind w:firstLine="380"/>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IT IS HEREBY AGREED as follows:</w:t>
      </w:r>
    </w:p>
    <w:p w14:paraId="3D250059" w14:textId="77777777" w:rsidR="00192F18" w:rsidRPr="00192F18" w:rsidRDefault="00192F18">
      <w:pPr>
        <w:keepNext/>
        <w:keepLines/>
        <w:widowControl w:val="0"/>
        <w:numPr>
          <w:ilvl w:val="0"/>
          <w:numId w:val="42"/>
        </w:numPr>
        <w:tabs>
          <w:tab w:val="left" w:pos="961"/>
        </w:tabs>
        <w:spacing w:after="80" w:line="254" w:lineRule="auto"/>
        <w:jc w:val="center"/>
        <w:outlineLvl w:val="3"/>
        <w:rPr>
          <w:rFonts w:ascii="Calibri" w:eastAsia="Calibri" w:hAnsi="Calibri" w:cs="Calibri"/>
          <w:b/>
          <w:bCs/>
          <w:color w:val="000000"/>
          <w:sz w:val="24"/>
          <w:szCs w:val="24"/>
          <w:lang w:bidi="en-US"/>
        </w:rPr>
      </w:pPr>
      <w:bookmarkStart w:id="80" w:name="bookmark28"/>
      <w:r w:rsidRPr="00192F18">
        <w:rPr>
          <w:rFonts w:ascii="Calibri" w:eastAsia="Calibri" w:hAnsi="Calibri" w:cs="Calibri"/>
          <w:b/>
          <w:bCs/>
          <w:color w:val="000000"/>
          <w:sz w:val="24"/>
          <w:szCs w:val="24"/>
          <w:lang w:bidi="en-US"/>
        </w:rPr>
        <w:t>Definitions and Interpretation</w:t>
      </w:r>
      <w:bookmarkEnd w:id="80"/>
    </w:p>
    <w:p w14:paraId="4F8B2827" w14:textId="77777777" w:rsidR="00192F18" w:rsidRPr="00192F18" w:rsidRDefault="00192F18" w:rsidP="00192F18">
      <w:pPr>
        <w:widowControl w:val="0"/>
        <w:spacing w:after="120" w:line="276"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For the purposes of this Agreement, the definitions provided for in Law 4001/2011, the Network Code, the Tariff Regulation, the Transmission Framework </w:t>
      </w:r>
      <w:proofErr w:type="gramStart"/>
      <w:r w:rsidRPr="00192F18">
        <w:rPr>
          <w:rFonts w:ascii="Calibri" w:eastAsia="Calibri" w:hAnsi="Calibri" w:cs="Calibri"/>
          <w:color w:val="000000"/>
          <w:sz w:val="24"/>
          <w:szCs w:val="24"/>
          <w:lang w:bidi="en-US"/>
        </w:rPr>
        <w:t>Agreement</w:t>
      </w:r>
      <w:proofErr w:type="gramEnd"/>
      <w:r w:rsidRPr="00192F18">
        <w:rPr>
          <w:rFonts w:ascii="Calibri" w:eastAsia="Calibri" w:hAnsi="Calibri" w:cs="Calibri"/>
          <w:color w:val="000000"/>
          <w:sz w:val="24"/>
          <w:szCs w:val="24"/>
          <w:lang w:bidi="en-US"/>
        </w:rPr>
        <w:t xml:space="preserve"> and the Project Proposal shall apply. In addition, the following capitalized </w:t>
      </w:r>
      <w:proofErr w:type="gramStart"/>
      <w:r w:rsidRPr="00192F18">
        <w:rPr>
          <w:rFonts w:ascii="Calibri" w:eastAsia="Calibri" w:hAnsi="Calibri" w:cs="Calibri"/>
          <w:color w:val="000000"/>
          <w:sz w:val="24"/>
          <w:szCs w:val="24"/>
          <w:lang w:bidi="en-US"/>
        </w:rPr>
        <w:t>terms</w:t>
      </w:r>
      <w:proofErr w:type="gramEnd"/>
      <w:r w:rsidRPr="00192F18">
        <w:rPr>
          <w:rFonts w:ascii="Calibri" w:eastAsia="Calibri" w:hAnsi="Calibri" w:cs="Calibri"/>
          <w:color w:val="000000"/>
          <w:sz w:val="24"/>
          <w:szCs w:val="24"/>
          <w:lang w:bidi="en-US"/>
        </w:rPr>
        <w:t xml:space="preserve"> and expressions, when used </w:t>
      </w:r>
      <w:r w:rsidRPr="00192F18">
        <w:rPr>
          <w:rFonts w:ascii="Calibri" w:eastAsia="Calibri" w:hAnsi="Calibri" w:cs="Calibri"/>
          <w:color w:val="000000"/>
          <w:sz w:val="24"/>
          <w:szCs w:val="24"/>
          <w:lang w:bidi="en-US"/>
        </w:rPr>
        <w:lastRenderedPageBreak/>
        <w:t>in this Agreement shall have the following meaning:</w:t>
      </w:r>
    </w:p>
    <w:p w14:paraId="2890477F" w14:textId="77777777" w:rsidR="00192F18" w:rsidRPr="00192F18" w:rsidRDefault="00192F18">
      <w:pPr>
        <w:keepNext/>
        <w:keepLines/>
        <w:widowControl w:val="0"/>
        <w:numPr>
          <w:ilvl w:val="1"/>
          <w:numId w:val="43"/>
        </w:numPr>
        <w:spacing w:after="120" w:line="271" w:lineRule="auto"/>
        <w:jc w:val="both"/>
        <w:outlineLvl w:val="3"/>
        <w:rPr>
          <w:rFonts w:ascii="Calibri" w:eastAsia="Calibri" w:hAnsi="Calibri" w:cs="Calibri"/>
          <w:b/>
          <w:bCs/>
          <w:color w:val="000000"/>
          <w:sz w:val="24"/>
          <w:szCs w:val="24"/>
          <w:lang w:bidi="en-US"/>
        </w:rPr>
      </w:pPr>
      <w:bookmarkStart w:id="81" w:name="bookmark30"/>
      <w:r w:rsidRPr="00192F18">
        <w:rPr>
          <w:rFonts w:ascii="Calibri" w:eastAsia="Calibri" w:hAnsi="Calibri" w:cs="Calibri"/>
          <w:color w:val="000000"/>
          <w:sz w:val="24"/>
          <w:szCs w:val="24"/>
          <w:lang w:bidi="en-US"/>
        </w:rPr>
        <w:t>Definitions</w:t>
      </w:r>
      <w:bookmarkEnd w:id="81"/>
    </w:p>
    <w:p w14:paraId="4213991F" w14:textId="77777777" w:rsidR="00192F18" w:rsidRPr="00192F18" w:rsidRDefault="00192F18" w:rsidP="00192F18">
      <w:pPr>
        <w:widowControl w:val="0"/>
        <w:spacing w:after="120" w:line="271" w:lineRule="auto"/>
        <w:jc w:val="both"/>
        <w:rPr>
          <w:rFonts w:ascii="Calibri" w:eastAsia="Calibri" w:hAnsi="Calibri" w:cs="Calibri"/>
          <w:color w:val="000000"/>
          <w:sz w:val="24"/>
          <w:szCs w:val="24"/>
          <w:lang w:bidi="en-US"/>
        </w:rPr>
      </w:pPr>
      <w:r w:rsidRPr="00192F18">
        <w:rPr>
          <w:rFonts w:ascii="Calibri" w:eastAsia="Calibri" w:hAnsi="Calibri" w:cs="Calibri"/>
          <w:b/>
          <w:bCs/>
          <w:color w:val="000000"/>
          <w:sz w:val="24"/>
          <w:szCs w:val="24"/>
          <w:lang w:bidi="en-US"/>
        </w:rPr>
        <w:t xml:space="preserve">Allocated Capacity </w:t>
      </w:r>
      <w:r w:rsidRPr="00192F18">
        <w:rPr>
          <w:rFonts w:ascii="Calibri" w:eastAsia="Calibri" w:hAnsi="Calibri" w:cs="Calibri"/>
          <w:color w:val="000000"/>
          <w:sz w:val="24"/>
          <w:szCs w:val="24"/>
          <w:lang w:bidi="en-US"/>
        </w:rPr>
        <w:t>shall mean the capacity allocated to the Company after the positive outcome of the Binding Bidding Phase and of the Economic Viability Test notified to the Company by means of a Transportation Confirmation. Said capacity may include, if possible, any potential prolongation of the commitment according to paragraph E.7.TAP.d.iii of the Project Proposal provided, however, that the initial Economic Viability Test for DESFA is positive.</w:t>
      </w:r>
    </w:p>
    <w:p w14:paraId="04E606C4" w14:textId="77777777" w:rsidR="00192F18" w:rsidRPr="00192F18" w:rsidRDefault="00192F18" w:rsidP="00192F18">
      <w:pPr>
        <w:widowControl w:val="0"/>
        <w:spacing w:after="120" w:line="276" w:lineRule="auto"/>
        <w:jc w:val="both"/>
        <w:rPr>
          <w:rFonts w:ascii="Calibri" w:eastAsia="Calibri" w:hAnsi="Calibri" w:cs="Calibri"/>
          <w:color w:val="000000"/>
          <w:sz w:val="24"/>
          <w:szCs w:val="24"/>
          <w:lang w:bidi="en-US"/>
        </w:rPr>
      </w:pPr>
      <w:r w:rsidRPr="00192F18">
        <w:rPr>
          <w:rFonts w:ascii="Calibri" w:eastAsia="Calibri" w:hAnsi="Calibri" w:cs="Calibri"/>
          <w:b/>
          <w:bCs/>
          <w:color w:val="000000"/>
          <w:sz w:val="24"/>
          <w:szCs w:val="24"/>
          <w:lang w:bidi="en-US"/>
        </w:rPr>
        <w:t xml:space="preserve">Transportation Confirmation </w:t>
      </w:r>
      <w:r w:rsidRPr="00192F18">
        <w:rPr>
          <w:rFonts w:ascii="Calibri" w:eastAsia="Calibri" w:hAnsi="Calibri" w:cs="Calibri"/>
          <w:color w:val="000000"/>
          <w:sz w:val="24"/>
          <w:szCs w:val="24"/>
          <w:lang w:bidi="en-US"/>
        </w:rPr>
        <w:t>shall mean the formal notification of DESFA to the Company of its Allocated Capacity according to the Economic Viability Test results after the closing of the Bid Submission Window attached in Annex I.</w:t>
      </w:r>
    </w:p>
    <w:p w14:paraId="079E5224" w14:textId="77777777" w:rsidR="00192F18" w:rsidRPr="00192F18" w:rsidRDefault="00192F18" w:rsidP="00192F18">
      <w:pPr>
        <w:widowControl w:val="0"/>
        <w:spacing w:after="120" w:line="271" w:lineRule="auto"/>
        <w:jc w:val="both"/>
        <w:rPr>
          <w:rFonts w:ascii="Calibri" w:eastAsia="Calibri" w:hAnsi="Calibri" w:cs="Calibri"/>
          <w:color w:val="000000"/>
          <w:sz w:val="24"/>
          <w:szCs w:val="24"/>
          <w:lang w:bidi="en-US"/>
        </w:rPr>
      </w:pPr>
      <w:r w:rsidRPr="00192F18">
        <w:rPr>
          <w:rFonts w:ascii="Calibri" w:eastAsia="Calibri" w:hAnsi="Calibri" w:cs="Calibri"/>
          <w:b/>
          <w:bCs/>
          <w:color w:val="000000"/>
          <w:sz w:val="24"/>
          <w:szCs w:val="24"/>
          <w:lang w:bidi="en-US"/>
        </w:rPr>
        <w:t xml:space="preserve">Bank Guarantee (or “GTA Guarantee”) </w:t>
      </w:r>
      <w:r w:rsidRPr="00192F18">
        <w:rPr>
          <w:rFonts w:ascii="Calibri" w:eastAsia="Calibri" w:hAnsi="Calibri" w:cs="Calibri"/>
          <w:color w:val="000000"/>
          <w:sz w:val="24"/>
          <w:szCs w:val="24"/>
          <w:lang w:bidi="en-US"/>
        </w:rPr>
        <w:t>shall mean the letter of bank payment guarantee provided by the Company for the proper performance of this Agreement, for the amount and the duration provided for in Article 4, having the form attached to in Annex II.</w:t>
      </w:r>
    </w:p>
    <w:p w14:paraId="5FC1E6C0" w14:textId="77777777" w:rsidR="00192F18" w:rsidRPr="00192F18" w:rsidRDefault="00192F18" w:rsidP="00192F18">
      <w:pPr>
        <w:widowControl w:val="0"/>
        <w:spacing w:after="120" w:line="271" w:lineRule="auto"/>
        <w:jc w:val="both"/>
        <w:rPr>
          <w:rFonts w:ascii="Calibri" w:eastAsia="Calibri" w:hAnsi="Calibri" w:cs="Calibri"/>
          <w:color w:val="000000"/>
          <w:sz w:val="24"/>
          <w:szCs w:val="24"/>
          <w:lang w:bidi="en-US"/>
        </w:rPr>
      </w:pPr>
      <w:r w:rsidRPr="00192F18">
        <w:rPr>
          <w:rFonts w:ascii="Calibri" w:eastAsia="Calibri" w:hAnsi="Calibri" w:cs="Calibri"/>
          <w:b/>
          <w:bCs/>
          <w:color w:val="000000"/>
          <w:sz w:val="24"/>
          <w:szCs w:val="24"/>
          <w:lang w:bidi="en-US"/>
        </w:rPr>
        <w:t xml:space="preserve">Business Day </w:t>
      </w:r>
      <w:r w:rsidRPr="00192F18">
        <w:rPr>
          <w:rFonts w:ascii="Calibri" w:eastAsia="Calibri" w:hAnsi="Calibri" w:cs="Calibri"/>
          <w:color w:val="000000"/>
          <w:sz w:val="24"/>
          <w:szCs w:val="24"/>
          <w:lang w:bidi="en-US"/>
        </w:rPr>
        <w:t xml:space="preserve">shall mean any day that is not a Saturday, </w:t>
      </w:r>
      <w:proofErr w:type="gramStart"/>
      <w:r w:rsidRPr="00192F18">
        <w:rPr>
          <w:rFonts w:ascii="Calibri" w:eastAsia="Calibri" w:hAnsi="Calibri" w:cs="Calibri"/>
          <w:color w:val="000000"/>
          <w:sz w:val="24"/>
          <w:szCs w:val="24"/>
          <w:lang w:bidi="en-US"/>
        </w:rPr>
        <w:t>Sunday</w:t>
      </w:r>
      <w:proofErr w:type="gramEnd"/>
      <w:r w:rsidRPr="00192F18">
        <w:rPr>
          <w:rFonts w:ascii="Calibri" w:eastAsia="Calibri" w:hAnsi="Calibri" w:cs="Calibri"/>
          <w:color w:val="000000"/>
          <w:sz w:val="24"/>
          <w:szCs w:val="24"/>
          <w:lang w:bidi="en-US"/>
        </w:rPr>
        <w:t xml:space="preserve"> or public holiday in the Hellenic Republic.</w:t>
      </w:r>
    </w:p>
    <w:p w14:paraId="2CBE2C04" w14:textId="77777777" w:rsidR="00192F18" w:rsidRPr="00192F18" w:rsidRDefault="00192F18" w:rsidP="00192F18">
      <w:pPr>
        <w:widowControl w:val="0"/>
        <w:spacing w:after="120" w:line="271" w:lineRule="auto"/>
        <w:jc w:val="both"/>
        <w:rPr>
          <w:rFonts w:ascii="Calibri" w:eastAsia="Calibri" w:hAnsi="Calibri" w:cs="Calibri"/>
          <w:color w:val="000000"/>
          <w:sz w:val="24"/>
          <w:szCs w:val="24"/>
          <w:lang w:bidi="en-US"/>
        </w:rPr>
      </w:pPr>
      <w:r w:rsidRPr="00192F18">
        <w:rPr>
          <w:rFonts w:ascii="Calibri" w:eastAsia="Calibri" w:hAnsi="Calibri" w:cs="Calibri"/>
          <w:b/>
          <w:bCs/>
          <w:color w:val="000000"/>
          <w:sz w:val="24"/>
          <w:szCs w:val="24"/>
          <w:lang w:bidi="en-US"/>
        </w:rPr>
        <w:t xml:space="preserve">CAM NC </w:t>
      </w:r>
      <w:r w:rsidRPr="00192F18">
        <w:rPr>
          <w:rFonts w:ascii="Calibri" w:eastAsia="Calibri" w:hAnsi="Calibri" w:cs="Calibri"/>
          <w:color w:val="000000"/>
          <w:sz w:val="24"/>
          <w:szCs w:val="24"/>
          <w:lang w:bidi="en-US"/>
        </w:rPr>
        <w:t>means Regulation (EU) no 2017/459.</w:t>
      </w:r>
    </w:p>
    <w:p w14:paraId="16AB6E3F" w14:textId="77777777" w:rsidR="00192F18" w:rsidRPr="00192F18" w:rsidRDefault="00192F18" w:rsidP="00192F18">
      <w:pPr>
        <w:widowControl w:val="0"/>
        <w:spacing w:after="120" w:line="271" w:lineRule="auto"/>
        <w:jc w:val="both"/>
        <w:rPr>
          <w:rFonts w:ascii="Calibri" w:eastAsia="Calibri" w:hAnsi="Calibri" w:cs="Calibri"/>
          <w:color w:val="000000"/>
          <w:sz w:val="24"/>
          <w:szCs w:val="24"/>
          <w:lang w:bidi="en-US"/>
        </w:rPr>
      </w:pPr>
      <w:r w:rsidRPr="00192F18">
        <w:rPr>
          <w:rFonts w:ascii="Calibri" w:eastAsia="Calibri" w:hAnsi="Calibri" w:cs="Calibri"/>
          <w:b/>
          <w:bCs/>
          <w:color w:val="000000"/>
          <w:sz w:val="24"/>
          <w:szCs w:val="24"/>
          <w:lang w:bidi="en-US"/>
        </w:rPr>
        <w:t xml:space="preserve">Capacity </w:t>
      </w:r>
      <w:r w:rsidRPr="00192F18">
        <w:rPr>
          <w:rFonts w:ascii="Calibri" w:eastAsia="Calibri" w:hAnsi="Calibri" w:cs="Calibri"/>
          <w:color w:val="000000"/>
          <w:sz w:val="24"/>
          <w:szCs w:val="24"/>
          <w:lang w:bidi="en-US"/>
        </w:rPr>
        <w:t>shall mean transmission capacity as defined in Regulation (EC) 715/2009.</w:t>
      </w:r>
    </w:p>
    <w:p w14:paraId="49B123BA" w14:textId="77777777" w:rsidR="00192F18" w:rsidRPr="00192F18" w:rsidRDefault="00192F18" w:rsidP="00192F18">
      <w:pPr>
        <w:widowControl w:val="0"/>
        <w:spacing w:after="120" w:line="271" w:lineRule="auto"/>
        <w:jc w:val="both"/>
        <w:rPr>
          <w:rFonts w:ascii="Calibri" w:eastAsia="Calibri" w:hAnsi="Calibri" w:cs="Calibri"/>
          <w:color w:val="000000"/>
          <w:sz w:val="24"/>
          <w:szCs w:val="24"/>
          <w:lang w:bidi="en-US"/>
        </w:rPr>
      </w:pPr>
      <w:r w:rsidRPr="00192F18">
        <w:rPr>
          <w:rFonts w:ascii="Calibri" w:eastAsia="Calibri" w:hAnsi="Calibri" w:cs="Calibri"/>
          <w:b/>
          <w:bCs/>
          <w:color w:val="000000"/>
          <w:sz w:val="24"/>
          <w:szCs w:val="24"/>
          <w:lang w:bidi="en-US"/>
        </w:rPr>
        <w:t xml:space="preserve">Competent Authority </w:t>
      </w:r>
      <w:r w:rsidRPr="00192F18">
        <w:rPr>
          <w:rFonts w:ascii="Calibri" w:eastAsia="Calibri" w:hAnsi="Calibri" w:cs="Calibri"/>
          <w:color w:val="000000"/>
          <w:sz w:val="24"/>
          <w:szCs w:val="24"/>
          <w:lang w:bidi="en-US"/>
        </w:rPr>
        <w:t xml:space="preserve">means any national, supranational, </w:t>
      </w:r>
      <w:proofErr w:type="gramStart"/>
      <w:r w:rsidRPr="00192F18">
        <w:rPr>
          <w:rFonts w:ascii="Calibri" w:eastAsia="Calibri" w:hAnsi="Calibri" w:cs="Calibri"/>
          <w:color w:val="000000"/>
          <w:sz w:val="24"/>
          <w:szCs w:val="24"/>
          <w:lang w:bidi="en-US"/>
        </w:rPr>
        <w:t>regional</w:t>
      </w:r>
      <w:proofErr w:type="gramEnd"/>
      <w:r w:rsidRPr="00192F18">
        <w:rPr>
          <w:rFonts w:ascii="Calibri" w:eastAsia="Calibri" w:hAnsi="Calibri" w:cs="Calibri"/>
          <w:color w:val="000000"/>
          <w:sz w:val="24"/>
          <w:szCs w:val="24"/>
          <w:lang w:bidi="en-US"/>
        </w:rPr>
        <w:t xml:space="preserve"> or local government or governmental or administrative, fiscal, judicial or government-owned body, department, commission, authority, tribunal, court of law, agency, inspectorate, ministry, official or public or statutory person having or asserting jurisdiction over any of the Parties or either of their assets/property or their operation.</w:t>
      </w:r>
    </w:p>
    <w:p w14:paraId="2BB4834B" w14:textId="77777777" w:rsidR="00192F18" w:rsidRPr="00192F18" w:rsidRDefault="00192F18" w:rsidP="00192F18">
      <w:pPr>
        <w:widowControl w:val="0"/>
        <w:spacing w:after="120" w:line="271" w:lineRule="auto"/>
        <w:jc w:val="both"/>
        <w:rPr>
          <w:rFonts w:ascii="Calibri" w:eastAsia="Calibri" w:hAnsi="Calibri" w:cs="Calibri"/>
          <w:color w:val="000000"/>
          <w:sz w:val="24"/>
          <w:szCs w:val="24"/>
          <w:lang w:bidi="en-US"/>
        </w:rPr>
      </w:pPr>
      <w:r w:rsidRPr="00192F18">
        <w:rPr>
          <w:rFonts w:ascii="Calibri" w:eastAsia="Calibri" w:hAnsi="Calibri" w:cs="Calibri"/>
          <w:b/>
          <w:bCs/>
          <w:color w:val="000000"/>
          <w:sz w:val="24"/>
          <w:szCs w:val="24"/>
          <w:lang w:bidi="en-US"/>
        </w:rPr>
        <w:t xml:space="preserve">Confidential Information </w:t>
      </w:r>
      <w:r w:rsidRPr="00192F18">
        <w:rPr>
          <w:rFonts w:ascii="Calibri" w:eastAsia="Calibri" w:hAnsi="Calibri" w:cs="Calibri"/>
          <w:color w:val="000000"/>
          <w:sz w:val="24"/>
          <w:szCs w:val="24"/>
          <w:lang w:bidi="en-US"/>
        </w:rPr>
        <w:t>shall have the meaning assigned to it in Article 8.</w:t>
      </w:r>
    </w:p>
    <w:p w14:paraId="471D9D3A" w14:textId="77777777" w:rsidR="00192F18" w:rsidRPr="00192F18" w:rsidRDefault="00192F18" w:rsidP="00192F18">
      <w:pPr>
        <w:widowControl w:val="0"/>
        <w:spacing w:after="120" w:line="271" w:lineRule="auto"/>
        <w:jc w:val="both"/>
        <w:rPr>
          <w:rFonts w:ascii="Calibri" w:eastAsia="Calibri" w:hAnsi="Calibri" w:cs="Calibri"/>
          <w:color w:val="000000"/>
          <w:sz w:val="24"/>
          <w:szCs w:val="24"/>
          <w:lang w:bidi="en-US"/>
        </w:rPr>
      </w:pPr>
      <w:r w:rsidRPr="00192F18">
        <w:rPr>
          <w:rFonts w:ascii="Calibri" w:eastAsia="Calibri" w:hAnsi="Calibri" w:cs="Calibri"/>
          <w:b/>
          <w:bCs/>
          <w:color w:val="000000"/>
          <w:sz w:val="24"/>
          <w:szCs w:val="24"/>
          <w:lang w:bidi="en-US"/>
        </w:rPr>
        <w:t xml:space="preserve">Consequential Loss </w:t>
      </w:r>
      <w:r w:rsidRPr="00192F18">
        <w:rPr>
          <w:rFonts w:ascii="Calibri" w:eastAsia="Calibri" w:hAnsi="Calibri" w:cs="Calibri"/>
          <w:color w:val="000000"/>
          <w:sz w:val="24"/>
          <w:szCs w:val="24"/>
          <w:lang w:bidi="en-US"/>
        </w:rPr>
        <w:t xml:space="preserve">shall mean any consequential, </w:t>
      </w:r>
      <w:proofErr w:type="gramStart"/>
      <w:r w:rsidRPr="00192F18">
        <w:rPr>
          <w:rFonts w:ascii="Calibri" w:eastAsia="Calibri" w:hAnsi="Calibri" w:cs="Calibri"/>
          <w:color w:val="000000"/>
          <w:sz w:val="24"/>
          <w:szCs w:val="24"/>
          <w:lang w:bidi="en-US"/>
        </w:rPr>
        <w:t>incidental</w:t>
      </w:r>
      <w:proofErr w:type="gramEnd"/>
      <w:r w:rsidRPr="00192F18">
        <w:rPr>
          <w:rFonts w:ascii="Calibri" w:eastAsia="Calibri" w:hAnsi="Calibri" w:cs="Calibri"/>
          <w:color w:val="000000"/>
          <w:sz w:val="24"/>
          <w:szCs w:val="24"/>
          <w:lang w:bidi="en-US"/>
        </w:rPr>
        <w:t xml:space="preserve"> or indirect damages, including loss of opportunity, damage to reputation, loss of profits or economic loss however caused whether under this Agreement or in tort (including negligence).</w:t>
      </w:r>
    </w:p>
    <w:p w14:paraId="562590C3" w14:textId="77777777" w:rsidR="00192F18" w:rsidRPr="00192F18" w:rsidRDefault="00192F18" w:rsidP="00192F18">
      <w:pPr>
        <w:widowControl w:val="0"/>
        <w:spacing w:after="120" w:line="276" w:lineRule="auto"/>
        <w:jc w:val="both"/>
        <w:rPr>
          <w:rFonts w:ascii="Calibri" w:eastAsia="Calibri" w:hAnsi="Calibri" w:cs="Calibri"/>
          <w:color w:val="000000"/>
          <w:sz w:val="24"/>
          <w:szCs w:val="24"/>
          <w:lang w:bidi="en-US"/>
        </w:rPr>
      </w:pPr>
      <w:r w:rsidRPr="00192F18">
        <w:rPr>
          <w:rFonts w:ascii="Calibri" w:eastAsia="Calibri" w:hAnsi="Calibri" w:cs="Calibri"/>
          <w:b/>
          <w:bCs/>
          <w:color w:val="000000"/>
          <w:sz w:val="24"/>
          <w:szCs w:val="24"/>
          <w:lang w:bidi="en-US"/>
        </w:rPr>
        <w:t xml:space="preserve">Commercial Operation Date (“or COD”) </w:t>
      </w:r>
      <w:r w:rsidRPr="00192F18">
        <w:rPr>
          <w:rFonts w:ascii="Calibri" w:eastAsia="Calibri" w:hAnsi="Calibri" w:cs="Calibri"/>
          <w:color w:val="000000"/>
          <w:sz w:val="24"/>
          <w:szCs w:val="24"/>
          <w:lang w:bidi="en-US"/>
        </w:rPr>
        <w:t>shall mean the Gas Day that DESFA Notifies to the Company (as at the date of that Notice) as being the date on which it is ready to commence commercial operation of the DESFA Part of the Project and which thereafter will be published on DESFA's website.</w:t>
      </w:r>
    </w:p>
    <w:p w14:paraId="7A2F68BF" w14:textId="77777777" w:rsidR="00192F18" w:rsidRPr="00192F18" w:rsidRDefault="00192F18" w:rsidP="00192F18">
      <w:pPr>
        <w:widowControl w:val="0"/>
        <w:spacing w:after="120" w:line="271" w:lineRule="auto"/>
        <w:jc w:val="both"/>
        <w:rPr>
          <w:rFonts w:ascii="Calibri" w:eastAsia="Calibri" w:hAnsi="Calibri" w:cs="Calibri"/>
          <w:color w:val="000000"/>
          <w:sz w:val="24"/>
          <w:szCs w:val="24"/>
          <w:lang w:bidi="en-US"/>
        </w:rPr>
      </w:pPr>
      <w:r w:rsidRPr="00192F18">
        <w:rPr>
          <w:rFonts w:ascii="Calibri" w:eastAsia="Calibri" w:hAnsi="Calibri" w:cs="Calibri"/>
          <w:b/>
          <w:bCs/>
          <w:color w:val="000000"/>
          <w:sz w:val="24"/>
          <w:szCs w:val="24"/>
          <w:lang w:bidi="en-US"/>
        </w:rPr>
        <w:t xml:space="preserve">DESFA System </w:t>
      </w:r>
      <w:r w:rsidRPr="00192F18">
        <w:rPr>
          <w:rFonts w:ascii="Calibri" w:eastAsia="Calibri" w:hAnsi="Calibri" w:cs="Calibri"/>
          <w:color w:val="000000"/>
          <w:sz w:val="24"/>
          <w:szCs w:val="24"/>
          <w:lang w:bidi="en-US"/>
        </w:rPr>
        <w:t>shall mean the National Natural Gas Transmission System.</w:t>
      </w:r>
    </w:p>
    <w:p w14:paraId="07D25469" w14:textId="77777777" w:rsidR="00192F18" w:rsidRPr="00192F18" w:rsidRDefault="00192F18" w:rsidP="00192F18">
      <w:pPr>
        <w:widowControl w:val="0"/>
        <w:spacing w:after="120" w:line="271" w:lineRule="auto"/>
        <w:jc w:val="both"/>
        <w:rPr>
          <w:rFonts w:ascii="Calibri" w:eastAsia="Calibri" w:hAnsi="Calibri" w:cs="Calibri"/>
          <w:color w:val="000000"/>
          <w:sz w:val="24"/>
          <w:szCs w:val="24"/>
          <w:lang w:bidi="en-US"/>
        </w:rPr>
      </w:pPr>
      <w:r w:rsidRPr="00192F18">
        <w:rPr>
          <w:rFonts w:ascii="Calibri" w:eastAsia="Calibri" w:hAnsi="Calibri" w:cs="Calibri"/>
          <w:b/>
          <w:bCs/>
          <w:color w:val="000000"/>
          <w:sz w:val="24"/>
          <w:szCs w:val="24"/>
          <w:lang w:bidi="en-US"/>
        </w:rPr>
        <w:t xml:space="preserve">Effective Date </w:t>
      </w:r>
      <w:r w:rsidRPr="00192F18">
        <w:rPr>
          <w:rFonts w:ascii="Calibri" w:eastAsia="Calibri" w:hAnsi="Calibri" w:cs="Calibri"/>
          <w:color w:val="000000"/>
          <w:sz w:val="24"/>
          <w:szCs w:val="24"/>
          <w:lang w:bidi="en-US"/>
        </w:rPr>
        <w:t>shall mean the date that this Agreement has been executed by both Parties.</w:t>
      </w:r>
    </w:p>
    <w:p w14:paraId="2AFCFEB6" w14:textId="77777777" w:rsidR="00192F18" w:rsidRPr="00192F18" w:rsidRDefault="00192F18" w:rsidP="00192F18">
      <w:pPr>
        <w:widowControl w:val="0"/>
        <w:spacing w:after="120" w:line="271" w:lineRule="auto"/>
        <w:jc w:val="both"/>
        <w:rPr>
          <w:rFonts w:ascii="Calibri" w:eastAsia="Calibri" w:hAnsi="Calibri" w:cs="Calibri"/>
          <w:color w:val="000000"/>
          <w:sz w:val="24"/>
          <w:szCs w:val="24"/>
          <w:lang w:bidi="en-US"/>
        </w:rPr>
      </w:pPr>
      <w:r w:rsidRPr="00192F18">
        <w:rPr>
          <w:rFonts w:ascii="Calibri" w:eastAsia="Calibri" w:hAnsi="Calibri" w:cs="Calibri"/>
          <w:b/>
          <w:bCs/>
          <w:color w:val="000000"/>
          <w:sz w:val="24"/>
          <w:szCs w:val="24"/>
          <w:lang w:bidi="en-US"/>
        </w:rPr>
        <w:t xml:space="preserve">Economic Viability Test (or “EVT”) </w:t>
      </w:r>
      <w:r w:rsidRPr="00192F18">
        <w:rPr>
          <w:rFonts w:ascii="Calibri" w:eastAsia="Calibri" w:hAnsi="Calibri" w:cs="Calibri"/>
          <w:color w:val="000000"/>
          <w:sz w:val="24"/>
          <w:szCs w:val="24"/>
          <w:lang w:bidi="en-US"/>
        </w:rPr>
        <w:t xml:space="preserve">shall have the meaning assigned to it in Annex II of the </w:t>
      </w:r>
      <w:r w:rsidRPr="00192F18">
        <w:rPr>
          <w:rFonts w:ascii="Calibri" w:eastAsia="Calibri" w:hAnsi="Calibri" w:cs="Calibri"/>
          <w:color w:val="000000"/>
          <w:sz w:val="24"/>
          <w:szCs w:val="24"/>
          <w:lang w:bidi="en-US"/>
        </w:rPr>
        <w:lastRenderedPageBreak/>
        <w:t>Project Proposal.</w:t>
      </w:r>
    </w:p>
    <w:p w14:paraId="46C4594B" w14:textId="77777777" w:rsidR="00192F18" w:rsidRPr="00192F18" w:rsidRDefault="00192F18" w:rsidP="00192F18">
      <w:pPr>
        <w:widowControl w:val="0"/>
        <w:spacing w:after="120" w:line="271" w:lineRule="auto"/>
        <w:jc w:val="both"/>
        <w:rPr>
          <w:rFonts w:ascii="Calibri" w:eastAsia="Calibri" w:hAnsi="Calibri" w:cs="Calibri"/>
          <w:color w:val="000000"/>
          <w:sz w:val="24"/>
          <w:szCs w:val="24"/>
          <w:lang w:bidi="en-US"/>
        </w:rPr>
      </w:pPr>
      <w:r w:rsidRPr="00192F18">
        <w:rPr>
          <w:rFonts w:ascii="Calibri" w:eastAsia="Calibri" w:hAnsi="Calibri" w:cs="Calibri"/>
          <w:b/>
          <w:bCs/>
          <w:color w:val="000000"/>
          <w:sz w:val="24"/>
          <w:szCs w:val="24"/>
          <w:lang w:bidi="en-US"/>
        </w:rPr>
        <w:t xml:space="preserve">Force Majeure </w:t>
      </w:r>
      <w:r w:rsidRPr="00192F18">
        <w:rPr>
          <w:rFonts w:ascii="Calibri" w:eastAsia="Calibri" w:hAnsi="Calibri" w:cs="Calibri"/>
          <w:color w:val="000000"/>
          <w:sz w:val="24"/>
          <w:szCs w:val="24"/>
          <w:lang w:bidi="en-US"/>
        </w:rPr>
        <w:t>shall have the meaning assigned to it in Article 7.</w:t>
      </w:r>
    </w:p>
    <w:p w14:paraId="75A26F87" w14:textId="77777777" w:rsidR="00192F18" w:rsidRPr="00192F18" w:rsidRDefault="00192F18" w:rsidP="00192F18">
      <w:pPr>
        <w:widowControl w:val="0"/>
        <w:spacing w:after="120" w:line="271" w:lineRule="auto"/>
        <w:jc w:val="both"/>
        <w:rPr>
          <w:rFonts w:ascii="Calibri" w:eastAsia="Calibri" w:hAnsi="Calibri" w:cs="Calibri"/>
          <w:color w:val="000000"/>
          <w:sz w:val="24"/>
          <w:szCs w:val="24"/>
          <w:lang w:bidi="en-US"/>
        </w:rPr>
      </w:pPr>
      <w:r w:rsidRPr="00192F18">
        <w:rPr>
          <w:rFonts w:ascii="Calibri" w:eastAsia="Calibri" w:hAnsi="Calibri" w:cs="Calibri"/>
          <w:b/>
          <w:bCs/>
          <w:color w:val="000000"/>
          <w:sz w:val="24"/>
          <w:szCs w:val="24"/>
          <w:lang w:bidi="en-US"/>
        </w:rPr>
        <w:t xml:space="preserve">Gas Year </w:t>
      </w:r>
      <w:r w:rsidRPr="00192F18">
        <w:rPr>
          <w:rFonts w:ascii="Calibri" w:eastAsia="Calibri" w:hAnsi="Calibri" w:cs="Calibri"/>
          <w:color w:val="000000"/>
          <w:sz w:val="24"/>
          <w:szCs w:val="24"/>
          <w:lang w:bidi="en-US"/>
        </w:rPr>
        <w:t xml:space="preserve">shall mean </w:t>
      </w:r>
      <w:proofErr w:type="gramStart"/>
      <w:r w:rsidRPr="00192F18">
        <w:rPr>
          <w:rFonts w:ascii="Calibri" w:eastAsia="Calibri" w:hAnsi="Calibri" w:cs="Calibri"/>
          <w:color w:val="000000"/>
          <w:sz w:val="24"/>
          <w:szCs w:val="24"/>
          <w:lang w:bidi="en-US"/>
        </w:rPr>
        <w:t>a time period</w:t>
      </w:r>
      <w:proofErr w:type="gramEnd"/>
      <w:r w:rsidRPr="00192F18">
        <w:rPr>
          <w:rFonts w:ascii="Calibri" w:eastAsia="Calibri" w:hAnsi="Calibri" w:cs="Calibri"/>
          <w:color w:val="000000"/>
          <w:sz w:val="24"/>
          <w:szCs w:val="24"/>
          <w:lang w:bidi="en-US"/>
        </w:rPr>
        <w:t xml:space="preserve"> of twelve consecutive months, starting at 7.00 am on October 1st of a year and ending at 7.00 am on October 1st of the subsequent year.</w:t>
      </w:r>
    </w:p>
    <w:p w14:paraId="739D93B6" w14:textId="77777777" w:rsidR="00192F18" w:rsidRPr="00192F18" w:rsidRDefault="00192F18" w:rsidP="00192F18">
      <w:pPr>
        <w:widowControl w:val="0"/>
        <w:spacing w:after="120" w:line="271" w:lineRule="auto"/>
        <w:jc w:val="both"/>
        <w:rPr>
          <w:rFonts w:ascii="Calibri" w:eastAsia="Calibri" w:hAnsi="Calibri" w:cs="Calibri"/>
          <w:color w:val="000000"/>
          <w:sz w:val="24"/>
          <w:szCs w:val="24"/>
          <w:lang w:bidi="en-US"/>
        </w:rPr>
      </w:pPr>
      <w:r w:rsidRPr="00192F18">
        <w:rPr>
          <w:rFonts w:ascii="Calibri" w:eastAsia="Calibri" w:hAnsi="Calibri" w:cs="Calibri"/>
          <w:b/>
          <w:bCs/>
          <w:color w:val="000000"/>
          <w:sz w:val="24"/>
          <w:szCs w:val="24"/>
          <w:lang w:bidi="en-US"/>
        </w:rPr>
        <w:t xml:space="preserve">Gas Transportation Agreements (or “GTA”) </w:t>
      </w:r>
      <w:r w:rsidRPr="00192F18">
        <w:rPr>
          <w:rFonts w:ascii="Calibri" w:eastAsia="Calibri" w:hAnsi="Calibri" w:cs="Calibri"/>
          <w:color w:val="000000"/>
          <w:sz w:val="24"/>
          <w:szCs w:val="24"/>
          <w:lang w:bidi="en-US"/>
        </w:rPr>
        <w:t>means the agreements executed between the Participants and the TSO’s</w:t>
      </w:r>
      <w:proofErr w:type="gramStart"/>
      <w:r w:rsidRPr="00192F18">
        <w:rPr>
          <w:rFonts w:ascii="Calibri" w:eastAsia="Calibri" w:hAnsi="Calibri" w:cs="Calibri"/>
          <w:color w:val="000000"/>
          <w:sz w:val="24"/>
          <w:szCs w:val="24"/>
          <w:lang w:bidi="en-US"/>
        </w:rPr>
        <w:t>, as the case may be, for</w:t>
      </w:r>
      <w:proofErr w:type="gramEnd"/>
      <w:r w:rsidRPr="00192F18">
        <w:rPr>
          <w:rFonts w:ascii="Calibri" w:eastAsia="Calibri" w:hAnsi="Calibri" w:cs="Calibri"/>
          <w:color w:val="000000"/>
          <w:sz w:val="24"/>
          <w:szCs w:val="24"/>
          <w:lang w:bidi="en-US"/>
        </w:rPr>
        <w:t xml:space="preserve"> the capacity allocated to them after the positive outcome of the Binding Bidding Phase and of the Economic Viability Test.</w:t>
      </w:r>
    </w:p>
    <w:p w14:paraId="7F38AF1D" w14:textId="77777777" w:rsidR="00192F18" w:rsidRPr="00192F18" w:rsidRDefault="00192F18" w:rsidP="00192F18">
      <w:pPr>
        <w:widowControl w:val="0"/>
        <w:spacing w:after="120" w:line="276" w:lineRule="auto"/>
        <w:jc w:val="both"/>
        <w:rPr>
          <w:rFonts w:ascii="Calibri" w:eastAsia="Calibri" w:hAnsi="Calibri" w:cs="Calibri"/>
          <w:color w:val="000000"/>
          <w:sz w:val="24"/>
          <w:szCs w:val="24"/>
          <w:lang w:bidi="en-US"/>
        </w:rPr>
      </w:pPr>
      <w:r w:rsidRPr="00192F18">
        <w:rPr>
          <w:rFonts w:ascii="Calibri" w:eastAsia="Calibri" w:hAnsi="Calibri" w:cs="Calibri"/>
          <w:b/>
          <w:bCs/>
          <w:color w:val="000000"/>
          <w:sz w:val="24"/>
          <w:szCs w:val="24"/>
          <w:lang w:bidi="en-US"/>
        </w:rPr>
        <w:t xml:space="preserve">GTA Assignee </w:t>
      </w:r>
      <w:r w:rsidRPr="00192F18">
        <w:rPr>
          <w:rFonts w:ascii="Calibri" w:eastAsia="Calibri" w:hAnsi="Calibri" w:cs="Calibri"/>
          <w:color w:val="000000"/>
          <w:sz w:val="24"/>
          <w:szCs w:val="24"/>
          <w:lang w:bidi="en-US"/>
        </w:rPr>
        <w:t>shall mean a Transmission User registered in the National Natural Gas System Users Registry of the RAE and having signed a Transmission Framework Agreement with DESFA, to whom the Company is entitled to assign this Agreement pursuant to Article 6.</w:t>
      </w:r>
    </w:p>
    <w:p w14:paraId="3CA2F16F" w14:textId="77777777" w:rsidR="00192F18" w:rsidRPr="00192F18" w:rsidRDefault="00192F18" w:rsidP="00192F18">
      <w:pPr>
        <w:widowControl w:val="0"/>
        <w:spacing w:after="120" w:line="271" w:lineRule="auto"/>
        <w:jc w:val="both"/>
        <w:rPr>
          <w:rFonts w:ascii="Calibri" w:eastAsia="Calibri" w:hAnsi="Calibri" w:cs="Calibri"/>
          <w:color w:val="000000"/>
          <w:sz w:val="24"/>
          <w:szCs w:val="24"/>
          <w:lang w:bidi="en-US"/>
        </w:rPr>
      </w:pPr>
      <w:r w:rsidRPr="00192F18">
        <w:rPr>
          <w:rFonts w:ascii="Calibri" w:eastAsia="Calibri" w:hAnsi="Calibri" w:cs="Calibri"/>
          <w:b/>
          <w:bCs/>
          <w:color w:val="000000"/>
          <w:sz w:val="24"/>
          <w:szCs w:val="24"/>
          <w:lang w:bidi="en-US"/>
        </w:rPr>
        <w:t xml:space="preserve">Incremental Capacity Process </w:t>
      </w:r>
      <w:r w:rsidRPr="00192F18">
        <w:rPr>
          <w:rFonts w:ascii="Calibri" w:eastAsia="Calibri" w:hAnsi="Calibri" w:cs="Calibri"/>
          <w:color w:val="000000"/>
          <w:sz w:val="24"/>
          <w:szCs w:val="24"/>
          <w:lang w:bidi="en-US"/>
        </w:rPr>
        <w:t>shall have the meaning assigned to it in Annex II of the Project Proposal.</w:t>
      </w:r>
    </w:p>
    <w:p w14:paraId="5214F994" w14:textId="77777777" w:rsidR="00192F18" w:rsidRPr="00192F18" w:rsidRDefault="00192F18" w:rsidP="00192F18">
      <w:pPr>
        <w:widowControl w:val="0"/>
        <w:spacing w:after="120" w:line="276" w:lineRule="auto"/>
        <w:jc w:val="both"/>
        <w:rPr>
          <w:rFonts w:ascii="Calibri" w:eastAsia="Calibri" w:hAnsi="Calibri" w:cs="Calibri"/>
          <w:color w:val="000000"/>
          <w:sz w:val="24"/>
          <w:szCs w:val="24"/>
          <w:lang w:bidi="en-US"/>
        </w:rPr>
      </w:pPr>
      <w:r w:rsidRPr="00192F18">
        <w:rPr>
          <w:rFonts w:ascii="Calibri" w:eastAsia="Calibri" w:hAnsi="Calibri" w:cs="Calibri"/>
          <w:b/>
          <w:bCs/>
          <w:color w:val="000000"/>
          <w:sz w:val="24"/>
          <w:szCs w:val="24"/>
          <w:lang w:bidi="en-US"/>
        </w:rPr>
        <w:t xml:space="preserve">Incremental Capacity Project </w:t>
      </w:r>
      <w:r w:rsidRPr="00192F18">
        <w:rPr>
          <w:rFonts w:ascii="Calibri" w:eastAsia="Calibri" w:hAnsi="Calibri" w:cs="Calibri"/>
          <w:color w:val="000000"/>
          <w:sz w:val="24"/>
          <w:szCs w:val="24"/>
          <w:lang w:bidi="en-US"/>
        </w:rPr>
        <w:t>shall have the meaning assigned to it in Annex II of the Project Proposal.</w:t>
      </w:r>
    </w:p>
    <w:p w14:paraId="09B77CD5" w14:textId="77777777" w:rsidR="00192F18" w:rsidRPr="00192F18" w:rsidRDefault="00192F18" w:rsidP="00192F18">
      <w:pPr>
        <w:widowControl w:val="0"/>
        <w:spacing w:after="120" w:line="271" w:lineRule="auto"/>
        <w:jc w:val="both"/>
        <w:rPr>
          <w:rFonts w:ascii="Calibri" w:eastAsia="Calibri" w:hAnsi="Calibri" w:cs="Calibri"/>
          <w:color w:val="000000"/>
          <w:sz w:val="24"/>
          <w:szCs w:val="24"/>
          <w:lang w:bidi="en-US"/>
        </w:rPr>
      </w:pPr>
      <w:r w:rsidRPr="00192F18">
        <w:rPr>
          <w:rFonts w:ascii="Calibri" w:eastAsia="Calibri" w:hAnsi="Calibri" w:cs="Calibri"/>
          <w:b/>
          <w:bCs/>
          <w:color w:val="000000"/>
          <w:sz w:val="24"/>
          <w:szCs w:val="24"/>
          <w:lang w:bidi="en-US"/>
        </w:rPr>
        <w:t xml:space="preserve">Law </w:t>
      </w:r>
      <w:r w:rsidRPr="00192F18">
        <w:rPr>
          <w:rFonts w:ascii="Calibri" w:eastAsia="Calibri" w:hAnsi="Calibri" w:cs="Calibri"/>
          <w:color w:val="000000"/>
          <w:sz w:val="24"/>
          <w:szCs w:val="24"/>
          <w:lang w:bidi="en-US"/>
        </w:rPr>
        <w:t xml:space="preserve">means all federal, </w:t>
      </w:r>
      <w:proofErr w:type="gramStart"/>
      <w:r w:rsidRPr="00192F18">
        <w:rPr>
          <w:rFonts w:ascii="Calibri" w:eastAsia="Calibri" w:hAnsi="Calibri" w:cs="Calibri"/>
          <w:color w:val="000000"/>
          <w:sz w:val="24"/>
          <w:szCs w:val="24"/>
          <w:lang w:bidi="en-US"/>
        </w:rPr>
        <w:t>national</w:t>
      </w:r>
      <w:proofErr w:type="gramEnd"/>
      <w:r w:rsidRPr="00192F18">
        <w:rPr>
          <w:rFonts w:ascii="Calibri" w:eastAsia="Calibri" w:hAnsi="Calibri" w:cs="Calibri"/>
          <w:color w:val="000000"/>
          <w:sz w:val="24"/>
          <w:szCs w:val="24"/>
          <w:lang w:bidi="en-US"/>
        </w:rPr>
        <w:t xml:space="preserve"> or state legislation, statutes, ordinances and other laws, and regulations, by-laws, decisions and administrative acts of legally constituted Competent Authority or standards lawfully imposed by any such Competent Authority.</w:t>
      </w:r>
    </w:p>
    <w:p w14:paraId="5F3CB797" w14:textId="77777777" w:rsidR="00192F18" w:rsidRPr="00192F18" w:rsidRDefault="00192F18" w:rsidP="00192F18">
      <w:pPr>
        <w:widowControl w:val="0"/>
        <w:spacing w:after="120" w:line="271" w:lineRule="auto"/>
        <w:jc w:val="both"/>
        <w:rPr>
          <w:rFonts w:ascii="Calibri" w:eastAsia="Calibri" w:hAnsi="Calibri" w:cs="Calibri"/>
          <w:color w:val="000000"/>
          <w:sz w:val="24"/>
          <w:szCs w:val="24"/>
          <w:lang w:bidi="en-US"/>
        </w:rPr>
      </w:pPr>
      <w:r w:rsidRPr="00192F18">
        <w:rPr>
          <w:rFonts w:ascii="Calibri" w:eastAsia="Calibri" w:hAnsi="Calibri" w:cs="Calibri"/>
          <w:b/>
          <w:bCs/>
          <w:color w:val="000000"/>
          <w:sz w:val="24"/>
          <w:szCs w:val="24"/>
          <w:lang w:bidi="en-US"/>
        </w:rPr>
        <w:t xml:space="preserve">Long Stop Date </w:t>
      </w:r>
      <w:r w:rsidRPr="00192F18">
        <w:rPr>
          <w:rFonts w:ascii="Calibri" w:eastAsia="Calibri" w:hAnsi="Calibri" w:cs="Calibri"/>
          <w:color w:val="000000"/>
          <w:sz w:val="24"/>
          <w:szCs w:val="24"/>
          <w:lang w:bidi="en-US"/>
        </w:rPr>
        <w:t>means the date of 31 December 2023 pursuant to Article 3.3.</w:t>
      </w:r>
    </w:p>
    <w:p w14:paraId="375C0F3F" w14:textId="77777777" w:rsidR="00192F18" w:rsidRPr="00192F18" w:rsidRDefault="00192F18" w:rsidP="00192F18">
      <w:pPr>
        <w:widowControl w:val="0"/>
        <w:spacing w:after="120" w:line="271" w:lineRule="auto"/>
        <w:jc w:val="both"/>
        <w:rPr>
          <w:rFonts w:ascii="Calibri" w:eastAsia="Calibri" w:hAnsi="Calibri" w:cs="Calibri"/>
          <w:color w:val="000000"/>
          <w:sz w:val="24"/>
          <w:szCs w:val="24"/>
          <w:lang w:bidi="en-US"/>
        </w:rPr>
      </w:pPr>
      <w:r w:rsidRPr="00192F18">
        <w:rPr>
          <w:rFonts w:ascii="Calibri" w:eastAsia="Calibri" w:hAnsi="Calibri" w:cs="Calibri"/>
          <w:b/>
          <w:bCs/>
          <w:color w:val="000000"/>
          <w:sz w:val="24"/>
          <w:szCs w:val="24"/>
          <w:lang w:bidi="en-US"/>
        </w:rPr>
        <w:t xml:space="preserve">National Natural Gas Transmission System (or “NNGTS”) </w:t>
      </w:r>
      <w:r w:rsidRPr="00192F18">
        <w:rPr>
          <w:rFonts w:ascii="Calibri" w:eastAsia="Calibri" w:hAnsi="Calibri" w:cs="Calibri"/>
          <w:color w:val="000000"/>
          <w:sz w:val="24"/>
          <w:szCs w:val="24"/>
          <w:lang w:bidi="en-US"/>
        </w:rPr>
        <w:t>means the gas transmission network of DESFA as defined in article 67 of Law 4001/2011.</w:t>
      </w:r>
    </w:p>
    <w:p w14:paraId="61C1B33C" w14:textId="77777777" w:rsidR="00192F18" w:rsidRPr="00192F18" w:rsidRDefault="00192F18" w:rsidP="00192F18">
      <w:pPr>
        <w:widowControl w:val="0"/>
        <w:spacing w:after="120" w:line="271" w:lineRule="auto"/>
        <w:jc w:val="both"/>
        <w:rPr>
          <w:rFonts w:ascii="Calibri" w:eastAsia="Calibri" w:hAnsi="Calibri" w:cs="Calibri"/>
          <w:color w:val="000000"/>
          <w:sz w:val="24"/>
          <w:szCs w:val="24"/>
          <w:lang w:bidi="en-US"/>
        </w:rPr>
      </w:pPr>
      <w:r w:rsidRPr="00192F18">
        <w:rPr>
          <w:rFonts w:ascii="Calibri" w:eastAsia="Calibri" w:hAnsi="Calibri" w:cs="Calibri"/>
          <w:b/>
          <w:bCs/>
          <w:color w:val="000000"/>
          <w:sz w:val="24"/>
          <w:szCs w:val="24"/>
          <w:lang w:bidi="en-US"/>
        </w:rPr>
        <w:t xml:space="preserve">Network Code </w:t>
      </w:r>
      <w:r w:rsidRPr="00192F18">
        <w:rPr>
          <w:rFonts w:ascii="Calibri" w:eastAsia="Calibri" w:hAnsi="Calibri" w:cs="Calibri"/>
          <w:color w:val="000000"/>
          <w:sz w:val="24"/>
          <w:szCs w:val="24"/>
          <w:lang w:bidi="en-US"/>
        </w:rPr>
        <w:t>means the network code of the National Natural Gas System as defined in article 69 of Law 4001/2011 and in force at any given time.</w:t>
      </w:r>
    </w:p>
    <w:p w14:paraId="5F05EC59" w14:textId="77777777" w:rsidR="00192F18" w:rsidRPr="00192F18" w:rsidRDefault="00192F18" w:rsidP="00192F18">
      <w:pPr>
        <w:widowControl w:val="0"/>
        <w:spacing w:after="120" w:line="271" w:lineRule="auto"/>
        <w:jc w:val="both"/>
        <w:rPr>
          <w:rFonts w:ascii="Calibri" w:eastAsia="Calibri" w:hAnsi="Calibri" w:cs="Calibri"/>
          <w:color w:val="000000"/>
          <w:sz w:val="24"/>
          <w:szCs w:val="24"/>
          <w:lang w:bidi="en-US"/>
        </w:rPr>
      </w:pPr>
      <w:r w:rsidRPr="00192F18">
        <w:rPr>
          <w:rFonts w:ascii="Calibri" w:eastAsia="Calibri" w:hAnsi="Calibri" w:cs="Calibri"/>
          <w:b/>
          <w:bCs/>
          <w:color w:val="000000"/>
          <w:sz w:val="24"/>
          <w:szCs w:val="24"/>
          <w:lang w:bidi="en-US"/>
        </w:rPr>
        <w:t xml:space="preserve">Notice </w:t>
      </w:r>
      <w:r w:rsidRPr="00192F18">
        <w:rPr>
          <w:rFonts w:ascii="Calibri" w:eastAsia="Calibri" w:hAnsi="Calibri" w:cs="Calibri"/>
          <w:color w:val="000000"/>
          <w:sz w:val="24"/>
          <w:szCs w:val="24"/>
          <w:lang w:bidi="en-US"/>
        </w:rPr>
        <w:t>shall have the meaning assigned to it in Article 12.3.</w:t>
      </w:r>
    </w:p>
    <w:p w14:paraId="0148ED39" w14:textId="77777777" w:rsidR="00192F18" w:rsidRPr="00192F18" w:rsidRDefault="00192F18" w:rsidP="00192F18">
      <w:pPr>
        <w:widowControl w:val="0"/>
        <w:spacing w:after="120" w:line="271" w:lineRule="auto"/>
        <w:jc w:val="both"/>
        <w:rPr>
          <w:rFonts w:ascii="Calibri" w:eastAsia="Calibri" w:hAnsi="Calibri" w:cs="Calibri"/>
          <w:color w:val="000000"/>
          <w:sz w:val="24"/>
          <w:szCs w:val="24"/>
          <w:lang w:bidi="en-US"/>
        </w:rPr>
      </w:pPr>
      <w:r w:rsidRPr="00192F18">
        <w:rPr>
          <w:rFonts w:ascii="Calibri" w:eastAsia="Calibri" w:hAnsi="Calibri" w:cs="Calibri"/>
          <w:b/>
          <w:bCs/>
          <w:color w:val="000000"/>
          <w:sz w:val="24"/>
          <w:szCs w:val="24"/>
          <w:lang w:bidi="en-US"/>
        </w:rPr>
        <w:t xml:space="preserve">Project Proposal </w:t>
      </w:r>
      <w:r w:rsidRPr="00192F18">
        <w:rPr>
          <w:rFonts w:ascii="Calibri" w:eastAsia="Calibri" w:hAnsi="Calibri" w:cs="Calibri"/>
          <w:color w:val="000000"/>
          <w:sz w:val="24"/>
          <w:szCs w:val="24"/>
          <w:lang w:bidi="en-US"/>
        </w:rPr>
        <w:t xml:space="preserve">shall mean the document jointly prepared by </w:t>
      </w:r>
      <w:proofErr w:type="spellStart"/>
      <w:r w:rsidRPr="00192F18">
        <w:rPr>
          <w:rFonts w:ascii="Calibri" w:eastAsia="Calibri" w:hAnsi="Calibri" w:cs="Calibri"/>
          <w:color w:val="000000"/>
          <w:sz w:val="24"/>
          <w:szCs w:val="24"/>
          <w:lang w:bidi="en-US"/>
        </w:rPr>
        <w:t>Snam</w:t>
      </w:r>
      <w:proofErr w:type="spellEnd"/>
      <w:r w:rsidRPr="00192F18">
        <w:rPr>
          <w:rFonts w:ascii="Calibri" w:eastAsia="Calibri" w:hAnsi="Calibri" w:cs="Calibri"/>
          <w:color w:val="000000"/>
          <w:sz w:val="24"/>
          <w:szCs w:val="24"/>
          <w:lang w:bidi="en-US"/>
        </w:rPr>
        <w:t xml:space="preserve"> Rete Gas, TAP and DESFA in accordance with the provisions set in article 28 of the CAM NC for the Incremental Capacity Project of the involved TSO’s, approved by RAE with its decision No. [818/2022].</w:t>
      </w:r>
    </w:p>
    <w:p w14:paraId="65C163D8" w14:textId="77777777" w:rsidR="00192F18" w:rsidRPr="00192F18" w:rsidRDefault="00192F18" w:rsidP="00192F18">
      <w:pPr>
        <w:widowControl w:val="0"/>
        <w:spacing w:after="120" w:line="271" w:lineRule="auto"/>
        <w:jc w:val="both"/>
        <w:rPr>
          <w:rFonts w:ascii="Calibri" w:eastAsia="Calibri" w:hAnsi="Calibri" w:cs="Calibri"/>
          <w:color w:val="000000"/>
          <w:sz w:val="24"/>
          <w:szCs w:val="24"/>
          <w:lang w:bidi="en-US"/>
        </w:rPr>
      </w:pPr>
      <w:r w:rsidRPr="00192F18">
        <w:rPr>
          <w:rFonts w:ascii="Calibri" w:eastAsia="Calibri" w:hAnsi="Calibri" w:cs="Calibri"/>
          <w:b/>
          <w:bCs/>
          <w:color w:val="000000"/>
          <w:sz w:val="24"/>
          <w:szCs w:val="24"/>
          <w:lang w:bidi="en-US"/>
        </w:rPr>
        <w:t xml:space="preserve">RAE </w:t>
      </w:r>
      <w:r w:rsidRPr="00192F18">
        <w:rPr>
          <w:rFonts w:ascii="Calibri" w:eastAsia="Calibri" w:hAnsi="Calibri" w:cs="Calibri"/>
          <w:color w:val="000000"/>
          <w:sz w:val="24"/>
          <w:szCs w:val="24"/>
          <w:lang w:bidi="en-US"/>
        </w:rPr>
        <w:t>means the Hellenic Regulatory Authority for Energy.</w:t>
      </w:r>
    </w:p>
    <w:p w14:paraId="472041E4" w14:textId="77777777" w:rsidR="00192F18" w:rsidRPr="00192F18" w:rsidRDefault="00192F18" w:rsidP="00192F18">
      <w:pPr>
        <w:widowControl w:val="0"/>
        <w:spacing w:after="120" w:line="271" w:lineRule="auto"/>
        <w:jc w:val="both"/>
        <w:rPr>
          <w:rFonts w:ascii="Calibri" w:eastAsia="Calibri" w:hAnsi="Calibri" w:cs="Calibri"/>
          <w:color w:val="000000"/>
          <w:sz w:val="24"/>
          <w:szCs w:val="24"/>
          <w:lang w:bidi="en-US"/>
        </w:rPr>
      </w:pPr>
      <w:r w:rsidRPr="00192F18">
        <w:rPr>
          <w:rFonts w:ascii="Calibri" w:eastAsia="Calibri" w:hAnsi="Calibri" w:cs="Calibri"/>
          <w:b/>
          <w:bCs/>
          <w:color w:val="000000"/>
          <w:sz w:val="24"/>
          <w:szCs w:val="24"/>
          <w:lang w:bidi="en-US"/>
        </w:rPr>
        <w:t xml:space="preserve">TAP </w:t>
      </w:r>
      <w:r w:rsidRPr="00192F18">
        <w:rPr>
          <w:rFonts w:ascii="Calibri" w:eastAsia="Calibri" w:hAnsi="Calibri" w:cs="Calibri"/>
          <w:color w:val="000000"/>
          <w:sz w:val="24"/>
          <w:szCs w:val="24"/>
          <w:lang w:bidi="en-US"/>
        </w:rPr>
        <w:t>shall mean the Trans Adriatic Pipeline.</w:t>
      </w:r>
    </w:p>
    <w:p w14:paraId="3B8CA6C3" w14:textId="77777777" w:rsidR="00192F18" w:rsidRPr="00192F18" w:rsidRDefault="00192F18" w:rsidP="00192F18">
      <w:pPr>
        <w:widowControl w:val="0"/>
        <w:spacing w:after="120" w:line="271" w:lineRule="auto"/>
        <w:jc w:val="both"/>
        <w:rPr>
          <w:rFonts w:ascii="Calibri" w:eastAsia="Calibri" w:hAnsi="Calibri" w:cs="Calibri"/>
          <w:color w:val="000000"/>
          <w:sz w:val="24"/>
          <w:szCs w:val="24"/>
          <w:lang w:bidi="en-US"/>
        </w:rPr>
      </w:pPr>
      <w:r w:rsidRPr="00192F18">
        <w:rPr>
          <w:rFonts w:ascii="Calibri" w:eastAsia="Calibri" w:hAnsi="Calibri" w:cs="Calibri"/>
          <w:b/>
          <w:bCs/>
          <w:color w:val="000000"/>
          <w:sz w:val="24"/>
          <w:szCs w:val="24"/>
          <w:lang w:bidi="en-US"/>
        </w:rPr>
        <w:t xml:space="preserve">TAP System </w:t>
      </w:r>
      <w:r w:rsidRPr="00192F18">
        <w:rPr>
          <w:rFonts w:ascii="Calibri" w:eastAsia="Calibri" w:hAnsi="Calibri" w:cs="Calibri"/>
          <w:color w:val="000000"/>
          <w:sz w:val="24"/>
          <w:szCs w:val="24"/>
          <w:lang w:bidi="en-US"/>
        </w:rPr>
        <w:t>shall mean the gas transmission network of TAP AG.</w:t>
      </w:r>
    </w:p>
    <w:p w14:paraId="1DE66600" w14:textId="77777777" w:rsidR="00192F18" w:rsidRPr="00192F18" w:rsidRDefault="00192F18" w:rsidP="00192F18">
      <w:pPr>
        <w:widowControl w:val="0"/>
        <w:spacing w:after="120" w:line="271" w:lineRule="auto"/>
        <w:jc w:val="both"/>
        <w:rPr>
          <w:rFonts w:ascii="Calibri" w:eastAsia="Calibri" w:hAnsi="Calibri" w:cs="Calibri"/>
          <w:color w:val="000000"/>
          <w:sz w:val="24"/>
          <w:szCs w:val="24"/>
          <w:lang w:bidi="en-US"/>
        </w:rPr>
      </w:pPr>
      <w:r w:rsidRPr="00192F18">
        <w:rPr>
          <w:rFonts w:ascii="Calibri" w:eastAsia="Calibri" w:hAnsi="Calibri" w:cs="Calibri"/>
          <w:b/>
          <w:bCs/>
          <w:color w:val="000000"/>
          <w:sz w:val="24"/>
          <w:szCs w:val="24"/>
          <w:lang w:bidi="en-US"/>
        </w:rPr>
        <w:t xml:space="preserve">Tariff Regulation </w:t>
      </w:r>
      <w:r w:rsidRPr="00192F18">
        <w:rPr>
          <w:rFonts w:ascii="Calibri" w:eastAsia="Calibri" w:hAnsi="Calibri" w:cs="Calibri"/>
          <w:color w:val="000000"/>
          <w:sz w:val="24"/>
          <w:szCs w:val="24"/>
          <w:lang w:bidi="en-US"/>
        </w:rPr>
        <w:t>means the tariff regulation of the National Natural Gas System as defined in article 88 of Law 4001/2011 and in force from time to time.</w:t>
      </w:r>
    </w:p>
    <w:p w14:paraId="2AE3DBB4" w14:textId="77777777" w:rsidR="00192F18" w:rsidRPr="00192F18" w:rsidRDefault="00192F18" w:rsidP="00192F18">
      <w:pPr>
        <w:widowControl w:val="0"/>
        <w:spacing w:after="120" w:line="271" w:lineRule="auto"/>
        <w:jc w:val="both"/>
        <w:rPr>
          <w:rFonts w:ascii="Calibri" w:eastAsia="Calibri" w:hAnsi="Calibri" w:cs="Calibri"/>
          <w:color w:val="000000"/>
          <w:sz w:val="24"/>
          <w:szCs w:val="24"/>
          <w:lang w:bidi="en-US"/>
        </w:rPr>
      </w:pPr>
      <w:r w:rsidRPr="00192F18">
        <w:rPr>
          <w:rFonts w:ascii="Calibri" w:eastAsia="Calibri" w:hAnsi="Calibri" w:cs="Calibri"/>
          <w:b/>
          <w:bCs/>
          <w:color w:val="000000"/>
          <w:sz w:val="24"/>
          <w:szCs w:val="24"/>
          <w:lang w:bidi="en-US"/>
        </w:rPr>
        <w:t xml:space="preserve">Ten Year Development Plan (or “TYDP”) </w:t>
      </w:r>
      <w:r w:rsidRPr="00192F18">
        <w:rPr>
          <w:rFonts w:ascii="Calibri" w:eastAsia="Calibri" w:hAnsi="Calibri" w:cs="Calibri"/>
          <w:color w:val="000000"/>
          <w:sz w:val="24"/>
          <w:szCs w:val="24"/>
          <w:lang w:bidi="en-US"/>
        </w:rPr>
        <w:t>shall have the meaning assigned to it in article 1 of the Network Code.</w:t>
      </w:r>
    </w:p>
    <w:p w14:paraId="027049BB" w14:textId="77777777" w:rsidR="00192F18" w:rsidRPr="00192F18" w:rsidRDefault="00192F18" w:rsidP="00192F18">
      <w:pPr>
        <w:widowControl w:val="0"/>
        <w:spacing w:after="120" w:line="276" w:lineRule="auto"/>
        <w:jc w:val="both"/>
        <w:rPr>
          <w:rFonts w:ascii="Calibri" w:eastAsia="Calibri" w:hAnsi="Calibri" w:cs="Calibri"/>
          <w:color w:val="000000"/>
          <w:sz w:val="24"/>
          <w:szCs w:val="24"/>
          <w:lang w:bidi="en-US"/>
        </w:rPr>
      </w:pPr>
      <w:r w:rsidRPr="00192F18">
        <w:rPr>
          <w:rFonts w:ascii="Calibri" w:eastAsia="Calibri" w:hAnsi="Calibri" w:cs="Calibri"/>
          <w:b/>
          <w:bCs/>
          <w:color w:val="000000"/>
          <w:sz w:val="24"/>
          <w:szCs w:val="24"/>
          <w:lang w:bidi="en-US"/>
        </w:rPr>
        <w:lastRenderedPageBreak/>
        <w:t xml:space="preserve">Termination Date </w:t>
      </w:r>
      <w:r w:rsidRPr="00192F18">
        <w:rPr>
          <w:rFonts w:ascii="Calibri" w:eastAsia="Calibri" w:hAnsi="Calibri" w:cs="Calibri"/>
          <w:color w:val="000000"/>
          <w:sz w:val="24"/>
          <w:szCs w:val="24"/>
          <w:lang w:bidi="en-US"/>
        </w:rPr>
        <w:t>means the date on which this Agreement expires or terminates as per Article 3.</w:t>
      </w:r>
    </w:p>
    <w:p w14:paraId="28C94D66" w14:textId="77777777" w:rsidR="00192F18" w:rsidRPr="00192F18" w:rsidRDefault="00192F18" w:rsidP="00192F18">
      <w:pPr>
        <w:widowControl w:val="0"/>
        <w:spacing w:after="120" w:line="276" w:lineRule="auto"/>
        <w:jc w:val="both"/>
        <w:rPr>
          <w:rFonts w:ascii="Calibri" w:eastAsia="Calibri" w:hAnsi="Calibri" w:cs="Calibri"/>
          <w:color w:val="000000"/>
          <w:sz w:val="24"/>
          <w:szCs w:val="24"/>
          <w:lang w:bidi="en-US"/>
        </w:rPr>
      </w:pPr>
      <w:r w:rsidRPr="00192F18">
        <w:rPr>
          <w:rFonts w:ascii="Calibri" w:eastAsia="Calibri" w:hAnsi="Calibri" w:cs="Calibri"/>
          <w:b/>
          <w:bCs/>
          <w:color w:val="000000"/>
          <w:sz w:val="24"/>
          <w:szCs w:val="24"/>
          <w:lang w:bidi="en-US"/>
        </w:rPr>
        <w:t xml:space="preserve">TFA Guarantee </w:t>
      </w:r>
      <w:r w:rsidRPr="00192F18">
        <w:rPr>
          <w:rFonts w:ascii="Calibri" w:eastAsia="Calibri" w:hAnsi="Calibri" w:cs="Calibri"/>
          <w:color w:val="000000"/>
          <w:sz w:val="24"/>
          <w:szCs w:val="24"/>
          <w:lang w:bidi="en-US"/>
        </w:rPr>
        <w:t>means the guarantee required for the Approved Firm Service Application(s) of Article 2.3 according to the relevant provisions of the TFA and notably article 21H of Chapter 3A of the Network Code, whereas the Year of the auction is deemed as the Year which includes the start of the Gas Year within which the COD lies.</w:t>
      </w:r>
    </w:p>
    <w:p w14:paraId="4DAAF9F4" w14:textId="77777777" w:rsidR="00192F18" w:rsidRPr="00192F18" w:rsidRDefault="00192F18" w:rsidP="00192F18">
      <w:pPr>
        <w:widowControl w:val="0"/>
        <w:spacing w:after="120" w:line="271" w:lineRule="auto"/>
        <w:jc w:val="both"/>
        <w:rPr>
          <w:rFonts w:ascii="Calibri" w:eastAsia="Calibri" w:hAnsi="Calibri" w:cs="Calibri"/>
          <w:color w:val="000000"/>
          <w:sz w:val="24"/>
          <w:szCs w:val="24"/>
          <w:lang w:bidi="en-US"/>
        </w:rPr>
      </w:pPr>
      <w:r w:rsidRPr="00192F18">
        <w:rPr>
          <w:rFonts w:ascii="Calibri" w:eastAsia="Calibri" w:hAnsi="Calibri" w:cs="Calibri"/>
          <w:b/>
          <w:bCs/>
          <w:color w:val="000000"/>
          <w:sz w:val="24"/>
          <w:szCs w:val="24"/>
          <w:lang w:bidi="en-US"/>
        </w:rPr>
        <w:t xml:space="preserve">Transmission Framework Agreement (or “TFA”) </w:t>
      </w:r>
      <w:r w:rsidRPr="00192F18">
        <w:rPr>
          <w:rFonts w:ascii="Calibri" w:eastAsia="Calibri" w:hAnsi="Calibri" w:cs="Calibri"/>
          <w:color w:val="000000"/>
          <w:sz w:val="24"/>
          <w:szCs w:val="24"/>
          <w:lang w:bidi="en-US"/>
        </w:rPr>
        <w:t>means the standard agreement for accessing the National Natural Gas Transmission System, as defined in article 68 of Law 4001/2011 and in force at any given time, signed between DESFA and the Company.</w:t>
      </w:r>
    </w:p>
    <w:p w14:paraId="3343E374" w14:textId="77777777" w:rsidR="00192F18" w:rsidRPr="00192F18" w:rsidRDefault="00192F18" w:rsidP="00192F18">
      <w:pPr>
        <w:widowControl w:val="0"/>
        <w:spacing w:after="120" w:line="264" w:lineRule="auto"/>
        <w:jc w:val="both"/>
        <w:rPr>
          <w:rFonts w:ascii="Calibri" w:eastAsia="Calibri" w:hAnsi="Calibri" w:cs="Calibri"/>
          <w:color w:val="000000"/>
          <w:sz w:val="24"/>
          <w:szCs w:val="24"/>
          <w:lang w:bidi="en-US"/>
        </w:rPr>
      </w:pPr>
      <w:r w:rsidRPr="00192F18">
        <w:rPr>
          <w:rFonts w:ascii="Calibri" w:eastAsia="Calibri" w:hAnsi="Calibri" w:cs="Calibri"/>
          <w:b/>
          <w:bCs/>
          <w:color w:val="000000"/>
          <w:sz w:val="24"/>
          <w:szCs w:val="24"/>
          <w:lang w:bidi="en-US"/>
        </w:rPr>
        <w:t xml:space="preserve">Transmission User </w:t>
      </w:r>
      <w:r w:rsidRPr="00192F18">
        <w:rPr>
          <w:rFonts w:ascii="Calibri" w:eastAsia="Calibri" w:hAnsi="Calibri" w:cs="Calibri"/>
          <w:color w:val="000000"/>
          <w:sz w:val="24"/>
          <w:szCs w:val="24"/>
          <w:lang w:bidi="en-US"/>
        </w:rPr>
        <w:t>shall have the meaning assigned to it in article 1 of the Network Code.</w:t>
      </w:r>
    </w:p>
    <w:p w14:paraId="4E799C80" w14:textId="77777777" w:rsidR="00192F18" w:rsidRPr="00192F18" w:rsidRDefault="00192F18" w:rsidP="00192F18">
      <w:pPr>
        <w:widowControl w:val="0"/>
        <w:spacing w:after="120" w:line="271" w:lineRule="auto"/>
        <w:jc w:val="both"/>
        <w:rPr>
          <w:rFonts w:ascii="Calibri" w:eastAsia="Calibri" w:hAnsi="Calibri" w:cs="Calibri"/>
          <w:color w:val="000000"/>
          <w:sz w:val="24"/>
          <w:szCs w:val="24"/>
          <w:lang w:bidi="en-US"/>
        </w:rPr>
      </w:pPr>
      <w:r w:rsidRPr="00192F18">
        <w:rPr>
          <w:rFonts w:ascii="Calibri" w:eastAsia="Calibri" w:hAnsi="Calibri" w:cs="Calibri"/>
          <w:b/>
          <w:bCs/>
          <w:color w:val="000000"/>
          <w:sz w:val="24"/>
          <w:szCs w:val="24"/>
          <w:lang w:bidi="en-US"/>
        </w:rPr>
        <w:t xml:space="preserve">TSO </w:t>
      </w:r>
      <w:r w:rsidRPr="00192F18">
        <w:rPr>
          <w:rFonts w:ascii="Calibri" w:eastAsia="Calibri" w:hAnsi="Calibri" w:cs="Calibri"/>
          <w:color w:val="000000"/>
          <w:sz w:val="24"/>
          <w:szCs w:val="24"/>
          <w:lang w:bidi="en-US"/>
        </w:rPr>
        <w:t xml:space="preserve">shall mean transmission system operators, being TAP, </w:t>
      </w:r>
      <w:proofErr w:type="spellStart"/>
      <w:r w:rsidRPr="00192F18">
        <w:rPr>
          <w:rFonts w:ascii="Calibri" w:eastAsia="Calibri" w:hAnsi="Calibri" w:cs="Calibri"/>
          <w:color w:val="000000"/>
          <w:sz w:val="24"/>
          <w:szCs w:val="24"/>
          <w:lang w:bidi="en-US"/>
        </w:rPr>
        <w:t>Snam</w:t>
      </w:r>
      <w:proofErr w:type="spellEnd"/>
      <w:r w:rsidRPr="00192F18">
        <w:rPr>
          <w:rFonts w:ascii="Calibri" w:eastAsia="Calibri" w:hAnsi="Calibri" w:cs="Calibri"/>
          <w:color w:val="000000"/>
          <w:sz w:val="24"/>
          <w:szCs w:val="24"/>
          <w:lang w:bidi="en-US"/>
        </w:rPr>
        <w:t xml:space="preserve"> Rete Gas and DESFA (as relevant).</w:t>
      </w:r>
    </w:p>
    <w:p w14:paraId="2A75BFA8" w14:textId="77777777" w:rsidR="00192F18" w:rsidRPr="00192F18" w:rsidRDefault="00192F18">
      <w:pPr>
        <w:keepNext/>
        <w:keepLines/>
        <w:widowControl w:val="0"/>
        <w:numPr>
          <w:ilvl w:val="1"/>
          <w:numId w:val="43"/>
        </w:numPr>
        <w:spacing w:after="120" w:line="271" w:lineRule="auto"/>
        <w:jc w:val="both"/>
        <w:outlineLvl w:val="3"/>
        <w:rPr>
          <w:rFonts w:ascii="Calibri" w:eastAsia="Calibri" w:hAnsi="Calibri" w:cs="Calibri"/>
          <w:color w:val="000000"/>
          <w:sz w:val="24"/>
          <w:szCs w:val="24"/>
          <w:lang w:bidi="en-US"/>
        </w:rPr>
      </w:pPr>
      <w:bookmarkStart w:id="82" w:name="bookmark32"/>
      <w:r w:rsidRPr="00192F18">
        <w:rPr>
          <w:rFonts w:ascii="Calibri" w:eastAsia="Calibri" w:hAnsi="Calibri" w:cs="Calibri"/>
          <w:color w:val="000000"/>
          <w:sz w:val="24"/>
          <w:szCs w:val="24"/>
          <w:lang w:bidi="en-US"/>
        </w:rPr>
        <w:t>Interpretation and references</w:t>
      </w:r>
      <w:bookmarkEnd w:id="82"/>
    </w:p>
    <w:p w14:paraId="02464BC1" w14:textId="77777777" w:rsidR="00192F18" w:rsidRPr="00192F18" w:rsidRDefault="00192F18">
      <w:pPr>
        <w:widowControl w:val="0"/>
        <w:numPr>
          <w:ilvl w:val="2"/>
          <w:numId w:val="43"/>
        </w:numPr>
        <w:tabs>
          <w:tab w:val="left" w:pos="715"/>
        </w:tabs>
        <w:spacing w:after="120" w:line="26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In this Agreement, except where the context requires otherwise:</w:t>
      </w:r>
    </w:p>
    <w:p w14:paraId="5DD4D5AC" w14:textId="77777777" w:rsidR="00192F18" w:rsidRPr="00192F18" w:rsidRDefault="00192F18">
      <w:pPr>
        <w:widowControl w:val="0"/>
        <w:numPr>
          <w:ilvl w:val="0"/>
          <w:numId w:val="44"/>
        </w:numPr>
        <w:tabs>
          <w:tab w:val="left" w:pos="715"/>
        </w:tabs>
        <w:spacing w:after="120" w:line="26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words indicating one gender include all </w:t>
      </w:r>
      <w:proofErr w:type="gramStart"/>
      <w:r w:rsidRPr="00192F18">
        <w:rPr>
          <w:rFonts w:ascii="Calibri" w:eastAsia="Calibri" w:hAnsi="Calibri" w:cs="Calibri"/>
          <w:color w:val="000000"/>
          <w:sz w:val="24"/>
          <w:szCs w:val="24"/>
          <w:lang w:bidi="en-US"/>
        </w:rPr>
        <w:t>genders;</w:t>
      </w:r>
      <w:proofErr w:type="gramEnd"/>
    </w:p>
    <w:p w14:paraId="491607EB" w14:textId="77777777" w:rsidR="00192F18" w:rsidRPr="00192F18" w:rsidRDefault="00192F18">
      <w:pPr>
        <w:widowControl w:val="0"/>
        <w:numPr>
          <w:ilvl w:val="0"/>
          <w:numId w:val="44"/>
        </w:numPr>
        <w:tabs>
          <w:tab w:val="left" w:pos="715"/>
        </w:tabs>
        <w:spacing w:after="12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words indicating the singular also include the plural and words indicating the plural also include the </w:t>
      </w:r>
      <w:proofErr w:type="gramStart"/>
      <w:r w:rsidRPr="00192F18">
        <w:rPr>
          <w:rFonts w:ascii="Calibri" w:eastAsia="Calibri" w:hAnsi="Calibri" w:cs="Calibri"/>
          <w:color w:val="000000"/>
          <w:sz w:val="24"/>
          <w:szCs w:val="24"/>
          <w:lang w:bidi="en-US"/>
        </w:rPr>
        <w:t>singular;</w:t>
      </w:r>
      <w:proofErr w:type="gramEnd"/>
    </w:p>
    <w:p w14:paraId="6D3AAA72" w14:textId="77777777" w:rsidR="00192F18" w:rsidRPr="00192F18" w:rsidRDefault="00192F18">
      <w:pPr>
        <w:widowControl w:val="0"/>
        <w:numPr>
          <w:ilvl w:val="0"/>
          <w:numId w:val="44"/>
        </w:numPr>
        <w:tabs>
          <w:tab w:val="left" w:pos="715"/>
        </w:tabs>
        <w:spacing w:after="12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the terms "including" and "in particular" in this Agreement shall be read and understood as "including, but not limited to</w:t>
      </w:r>
      <w:proofErr w:type="gramStart"/>
      <w:r w:rsidRPr="00192F18">
        <w:rPr>
          <w:rFonts w:ascii="Calibri" w:eastAsia="Calibri" w:hAnsi="Calibri" w:cs="Calibri"/>
          <w:color w:val="000000"/>
          <w:sz w:val="24"/>
          <w:szCs w:val="24"/>
          <w:lang w:bidi="en-US"/>
        </w:rPr>
        <w:t>";</w:t>
      </w:r>
      <w:proofErr w:type="gramEnd"/>
    </w:p>
    <w:p w14:paraId="7EA9BCB7" w14:textId="77777777" w:rsidR="00192F18" w:rsidRPr="00192F18" w:rsidRDefault="00192F18">
      <w:pPr>
        <w:widowControl w:val="0"/>
        <w:numPr>
          <w:ilvl w:val="0"/>
          <w:numId w:val="44"/>
        </w:numPr>
        <w:tabs>
          <w:tab w:val="left" w:pos="715"/>
        </w:tabs>
        <w:spacing w:after="12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provisions including the word "agree", "agreed" or "agreement" or "approved" or "approval" or "consent" or "consented" require the agreement or approval to be recorded in writing; and</w:t>
      </w:r>
    </w:p>
    <w:p w14:paraId="50B9A87F" w14:textId="77777777" w:rsidR="00192F18" w:rsidRPr="00192F18" w:rsidRDefault="00192F18">
      <w:pPr>
        <w:widowControl w:val="0"/>
        <w:numPr>
          <w:ilvl w:val="0"/>
          <w:numId w:val="44"/>
        </w:numPr>
        <w:tabs>
          <w:tab w:val="left" w:pos="715"/>
        </w:tabs>
        <w:spacing w:after="12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"written", "written form" or "in writing" means hand-written, type-written, </w:t>
      </w:r>
      <w:proofErr w:type="gramStart"/>
      <w:r w:rsidRPr="00192F18">
        <w:rPr>
          <w:rFonts w:ascii="Calibri" w:eastAsia="Calibri" w:hAnsi="Calibri" w:cs="Calibri"/>
          <w:color w:val="000000"/>
          <w:sz w:val="24"/>
          <w:szCs w:val="24"/>
          <w:lang w:bidi="en-US"/>
        </w:rPr>
        <w:t>printed</w:t>
      </w:r>
      <w:proofErr w:type="gramEnd"/>
      <w:r w:rsidRPr="00192F18">
        <w:rPr>
          <w:rFonts w:ascii="Calibri" w:eastAsia="Calibri" w:hAnsi="Calibri" w:cs="Calibri"/>
          <w:color w:val="000000"/>
          <w:sz w:val="24"/>
          <w:szCs w:val="24"/>
          <w:lang w:bidi="en-US"/>
        </w:rPr>
        <w:t xml:space="preserve"> or electronically made including emails and facsimiles, unless specifically provided otherwise in this Agreement.</w:t>
      </w:r>
    </w:p>
    <w:p w14:paraId="7D81FF40" w14:textId="77777777" w:rsidR="00192F18" w:rsidRPr="00192F18" w:rsidRDefault="00192F18">
      <w:pPr>
        <w:widowControl w:val="0"/>
        <w:numPr>
          <w:ilvl w:val="0"/>
          <w:numId w:val="44"/>
        </w:numPr>
        <w:tabs>
          <w:tab w:val="left" w:pos="715"/>
        </w:tabs>
        <w:spacing w:after="0" w:line="26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The marginal words and other headlines shall not be taken into consideration in</w:t>
      </w:r>
    </w:p>
    <w:p w14:paraId="7F2A48C3" w14:textId="77777777" w:rsidR="00192F18" w:rsidRPr="00192F18" w:rsidRDefault="00192F18" w:rsidP="00192F18">
      <w:pPr>
        <w:widowControl w:val="0"/>
        <w:spacing w:after="120" w:line="26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the interpretation of this Agreement.</w:t>
      </w:r>
    </w:p>
    <w:p w14:paraId="14364D44" w14:textId="77777777" w:rsidR="00192F18" w:rsidRPr="00192F18" w:rsidRDefault="00192F18">
      <w:pPr>
        <w:widowControl w:val="0"/>
        <w:numPr>
          <w:ilvl w:val="0"/>
          <w:numId w:val="44"/>
        </w:numPr>
        <w:tabs>
          <w:tab w:val="left" w:pos="715"/>
        </w:tabs>
        <w:spacing w:after="12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References in this Agreement to Articles and Annexes are to Articles and Annexes of this Agreement.</w:t>
      </w:r>
    </w:p>
    <w:p w14:paraId="023ED6E4" w14:textId="77777777" w:rsidR="00192F18" w:rsidRPr="00192F18" w:rsidRDefault="00192F18">
      <w:pPr>
        <w:widowControl w:val="0"/>
        <w:numPr>
          <w:ilvl w:val="0"/>
          <w:numId w:val="44"/>
        </w:numPr>
        <w:tabs>
          <w:tab w:val="left" w:pos="715"/>
        </w:tabs>
        <w:spacing w:after="12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References to Natural Gas by quantity, mean a reference to the amount of Natural Gas in energy in kWh.</w:t>
      </w:r>
    </w:p>
    <w:p w14:paraId="3FC68A3F" w14:textId="77777777" w:rsidR="00192F18" w:rsidRPr="00192F18" w:rsidRDefault="00192F18">
      <w:pPr>
        <w:widowControl w:val="0"/>
        <w:numPr>
          <w:ilvl w:val="2"/>
          <w:numId w:val="43"/>
        </w:numPr>
        <w:tabs>
          <w:tab w:val="left" w:pos="715"/>
        </w:tabs>
        <w:spacing w:after="120" w:line="26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The Annexes constitute an integral part of this Agreement.</w:t>
      </w:r>
    </w:p>
    <w:p w14:paraId="3EB26D2E" w14:textId="77777777" w:rsidR="00192F18" w:rsidRPr="00192F18" w:rsidRDefault="00192F18">
      <w:pPr>
        <w:widowControl w:val="0"/>
        <w:numPr>
          <w:ilvl w:val="2"/>
          <w:numId w:val="43"/>
        </w:numPr>
        <w:tabs>
          <w:tab w:val="left" w:pos="709"/>
        </w:tabs>
        <w:spacing w:after="62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eastAsia="el-GR" w:bidi="el-GR"/>
        </w:rPr>
        <w:t xml:space="preserve">. </w:t>
      </w:r>
      <w:r w:rsidRPr="00192F18">
        <w:rPr>
          <w:rFonts w:ascii="Calibri" w:eastAsia="Calibri" w:hAnsi="Calibri" w:cs="Calibri"/>
          <w:color w:val="000000"/>
          <w:sz w:val="24"/>
          <w:szCs w:val="24"/>
          <w:lang w:bidi="en-US"/>
        </w:rPr>
        <w:t>The Agreement is made up of the body this Agreement and its Annexes. In the event of any conflict or inconsistency between anything in the body of this Agreement and the Annexes, the body of this Agreement prevails to the extent of the inconsistency.</w:t>
      </w:r>
    </w:p>
    <w:p w14:paraId="5E134378" w14:textId="77777777" w:rsidR="00192F18" w:rsidRPr="00192F18" w:rsidRDefault="00192F18">
      <w:pPr>
        <w:keepNext/>
        <w:keepLines/>
        <w:widowControl w:val="0"/>
        <w:numPr>
          <w:ilvl w:val="0"/>
          <w:numId w:val="42"/>
        </w:numPr>
        <w:tabs>
          <w:tab w:val="left" w:pos="956"/>
        </w:tabs>
        <w:spacing w:after="80" w:line="254" w:lineRule="auto"/>
        <w:jc w:val="center"/>
        <w:outlineLvl w:val="3"/>
        <w:rPr>
          <w:rFonts w:ascii="Calibri" w:eastAsia="Calibri" w:hAnsi="Calibri" w:cs="Calibri"/>
          <w:b/>
          <w:bCs/>
          <w:color w:val="000000"/>
          <w:sz w:val="24"/>
          <w:szCs w:val="24"/>
          <w:lang w:bidi="en-US"/>
        </w:rPr>
      </w:pPr>
      <w:bookmarkStart w:id="83" w:name="bookmark34"/>
      <w:r w:rsidRPr="00192F18">
        <w:rPr>
          <w:rFonts w:ascii="Calibri" w:eastAsia="Calibri" w:hAnsi="Calibri" w:cs="Calibri"/>
          <w:b/>
          <w:bCs/>
          <w:color w:val="000000"/>
          <w:sz w:val="24"/>
          <w:szCs w:val="24"/>
          <w:lang w:bidi="en-US"/>
        </w:rPr>
        <w:lastRenderedPageBreak/>
        <w:t>Scope of the Agreement and Obligations of the Parties</w:t>
      </w:r>
      <w:bookmarkEnd w:id="83"/>
    </w:p>
    <w:p w14:paraId="2410308E" w14:textId="77777777" w:rsidR="00192F18" w:rsidRPr="00192F18" w:rsidRDefault="00192F18">
      <w:pPr>
        <w:widowControl w:val="0"/>
        <w:numPr>
          <w:ilvl w:val="1"/>
          <w:numId w:val="45"/>
        </w:numPr>
        <w:tabs>
          <w:tab w:val="left" w:pos="709"/>
        </w:tabs>
        <w:spacing w:after="14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Following the positive outcome of the Binding Bidding Phase and of the EVT for the incremental capacity offered at the IP </w:t>
      </w:r>
      <w:proofErr w:type="spellStart"/>
      <w:r w:rsidRPr="00192F18">
        <w:rPr>
          <w:rFonts w:ascii="Calibri" w:eastAsia="Calibri" w:hAnsi="Calibri" w:cs="Calibri"/>
          <w:color w:val="000000"/>
          <w:sz w:val="24"/>
          <w:szCs w:val="24"/>
          <w:lang w:bidi="en-US"/>
        </w:rPr>
        <w:t>Nea</w:t>
      </w:r>
      <w:proofErr w:type="spellEnd"/>
      <w:r w:rsidRPr="00192F18">
        <w:rPr>
          <w:rFonts w:ascii="Calibri" w:eastAsia="Calibri" w:hAnsi="Calibri" w:cs="Calibri"/>
          <w:color w:val="000000"/>
          <w:sz w:val="24"/>
          <w:szCs w:val="24"/>
          <w:lang w:bidi="en-US"/>
        </w:rPr>
        <w:t xml:space="preserve"> Mesimvria according to the Project Proposal, the Parties with this Agreement undertake:</w:t>
      </w:r>
    </w:p>
    <w:p w14:paraId="1C2388E3" w14:textId="77777777" w:rsidR="00192F18" w:rsidRPr="00192F18" w:rsidRDefault="00192F18">
      <w:pPr>
        <w:widowControl w:val="0"/>
        <w:numPr>
          <w:ilvl w:val="0"/>
          <w:numId w:val="46"/>
        </w:numPr>
        <w:tabs>
          <w:tab w:val="left" w:pos="709"/>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DESFA to make available the Allocated Capacity at the IP </w:t>
      </w:r>
      <w:proofErr w:type="spellStart"/>
      <w:r w:rsidRPr="00192F18">
        <w:rPr>
          <w:rFonts w:ascii="Calibri" w:eastAsia="Calibri" w:hAnsi="Calibri" w:cs="Calibri"/>
          <w:color w:val="000000"/>
          <w:sz w:val="24"/>
          <w:szCs w:val="24"/>
          <w:lang w:bidi="en-US"/>
        </w:rPr>
        <w:t>Nea</w:t>
      </w:r>
      <w:proofErr w:type="spellEnd"/>
      <w:r w:rsidRPr="00192F18">
        <w:rPr>
          <w:rFonts w:ascii="Calibri" w:eastAsia="Calibri" w:hAnsi="Calibri" w:cs="Calibri"/>
          <w:color w:val="000000"/>
          <w:sz w:val="24"/>
          <w:szCs w:val="24"/>
          <w:lang w:bidi="en-US"/>
        </w:rPr>
        <w:t xml:space="preserve"> Mesimvria starting from the COD as per Article 2.2, subject to Articles 3.2, 3.3 and 5.5.</w:t>
      </w:r>
    </w:p>
    <w:p w14:paraId="1A472304" w14:textId="77777777" w:rsidR="00192F18" w:rsidRPr="00192F18" w:rsidRDefault="00192F18">
      <w:pPr>
        <w:widowControl w:val="0"/>
        <w:numPr>
          <w:ilvl w:val="0"/>
          <w:numId w:val="46"/>
        </w:numPr>
        <w:tabs>
          <w:tab w:val="left" w:pos="709"/>
        </w:tabs>
        <w:spacing w:after="14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The Company to provide to DESFA the Bank Guarantee for the proper performance of all its obligations under this Agreement and maintain it throughout the term of this Agreement pursuant to Article 3.1.</w:t>
      </w:r>
    </w:p>
    <w:p w14:paraId="36170CEC" w14:textId="77777777" w:rsidR="00192F18" w:rsidRPr="00192F18" w:rsidRDefault="00192F18">
      <w:pPr>
        <w:widowControl w:val="0"/>
        <w:numPr>
          <w:ilvl w:val="0"/>
          <w:numId w:val="46"/>
        </w:numPr>
        <w:tabs>
          <w:tab w:val="left" w:pos="709"/>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The Company to book the Allocated Capacity under the Transmission Framework Agreement pursuant to the terms of this Agreement and applicable Law.</w:t>
      </w:r>
    </w:p>
    <w:p w14:paraId="2D57839D" w14:textId="77777777" w:rsidR="00192F18" w:rsidRPr="00192F18" w:rsidRDefault="00192F18">
      <w:pPr>
        <w:widowControl w:val="0"/>
        <w:numPr>
          <w:ilvl w:val="1"/>
          <w:numId w:val="45"/>
        </w:numPr>
        <w:tabs>
          <w:tab w:val="left" w:pos="709"/>
        </w:tabs>
        <w:spacing w:after="14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The COD is hereby set to be the </w:t>
      </w:r>
      <w:r w:rsidRPr="00192F18">
        <w:rPr>
          <w:rFonts w:ascii="Calibri" w:eastAsia="Calibri" w:hAnsi="Calibri" w:cs="Calibri"/>
          <w:i/>
          <w:iCs/>
          <w:color w:val="000000"/>
          <w:sz w:val="24"/>
          <w:szCs w:val="24"/>
          <w:lang w:bidi="en-US"/>
        </w:rPr>
        <w:t>[choose among (</w:t>
      </w:r>
      <w:proofErr w:type="spellStart"/>
      <w:r w:rsidRPr="00192F18">
        <w:rPr>
          <w:rFonts w:ascii="Calibri" w:eastAsia="Calibri" w:hAnsi="Calibri" w:cs="Calibri"/>
          <w:i/>
          <w:iCs/>
          <w:color w:val="000000"/>
          <w:sz w:val="24"/>
          <w:szCs w:val="24"/>
          <w:lang w:bidi="en-US"/>
        </w:rPr>
        <w:t>i</w:t>
      </w:r>
      <w:proofErr w:type="spellEnd"/>
      <w:r w:rsidRPr="00192F18">
        <w:rPr>
          <w:rFonts w:ascii="Calibri" w:eastAsia="Calibri" w:hAnsi="Calibri" w:cs="Calibri"/>
          <w:i/>
          <w:iCs/>
          <w:color w:val="000000"/>
          <w:sz w:val="24"/>
          <w:szCs w:val="24"/>
          <w:lang w:bidi="en-US"/>
        </w:rPr>
        <w:t>) to (iii) as appropriate according to the choice in point A of the preamble and delete the remaining dates: (</w:t>
      </w:r>
      <w:proofErr w:type="spellStart"/>
      <w:r w:rsidRPr="00192F18">
        <w:rPr>
          <w:rFonts w:ascii="Calibri" w:eastAsia="Calibri" w:hAnsi="Calibri" w:cs="Calibri"/>
          <w:i/>
          <w:iCs/>
          <w:color w:val="000000"/>
          <w:sz w:val="24"/>
          <w:szCs w:val="24"/>
          <w:lang w:bidi="en-US"/>
        </w:rPr>
        <w:t>i</w:t>
      </w:r>
      <w:proofErr w:type="spellEnd"/>
      <w:r w:rsidRPr="00192F18">
        <w:rPr>
          <w:rFonts w:ascii="Calibri" w:eastAsia="Calibri" w:hAnsi="Calibri" w:cs="Calibri"/>
          <w:i/>
          <w:iCs/>
          <w:color w:val="000000"/>
          <w:sz w:val="24"/>
          <w:szCs w:val="24"/>
          <w:lang w:bidi="en-US"/>
        </w:rPr>
        <w:t xml:space="preserve">) 01.01.2026 [in case of Allocated Capacity for “Exit capacity at </w:t>
      </w:r>
      <w:proofErr w:type="spellStart"/>
      <w:r w:rsidRPr="00192F18">
        <w:rPr>
          <w:rFonts w:ascii="Calibri" w:eastAsia="Calibri" w:hAnsi="Calibri" w:cs="Calibri"/>
          <w:i/>
          <w:iCs/>
          <w:color w:val="000000"/>
          <w:sz w:val="24"/>
          <w:szCs w:val="24"/>
          <w:lang w:bidi="en-US"/>
        </w:rPr>
        <w:t>Nea</w:t>
      </w:r>
      <w:proofErr w:type="spellEnd"/>
      <w:r w:rsidRPr="00192F18">
        <w:rPr>
          <w:rFonts w:ascii="Calibri" w:eastAsia="Calibri" w:hAnsi="Calibri" w:cs="Calibri"/>
          <w:i/>
          <w:iCs/>
          <w:color w:val="000000"/>
          <w:sz w:val="24"/>
          <w:szCs w:val="24"/>
          <w:lang w:bidi="en-US"/>
        </w:rPr>
        <w:t xml:space="preserve"> Mesimvria Level 1”], (ii) 01.04.2027 [in case of Allocated Capacity for “Entry capacity at </w:t>
      </w:r>
      <w:proofErr w:type="spellStart"/>
      <w:r w:rsidRPr="00192F18">
        <w:rPr>
          <w:rFonts w:ascii="Calibri" w:eastAsia="Calibri" w:hAnsi="Calibri" w:cs="Calibri"/>
          <w:i/>
          <w:iCs/>
          <w:color w:val="000000"/>
          <w:sz w:val="24"/>
          <w:szCs w:val="24"/>
          <w:lang w:bidi="en-US"/>
        </w:rPr>
        <w:t>Nea</w:t>
      </w:r>
      <w:proofErr w:type="spellEnd"/>
      <w:r w:rsidRPr="00192F18">
        <w:rPr>
          <w:rFonts w:ascii="Calibri" w:eastAsia="Calibri" w:hAnsi="Calibri" w:cs="Calibri"/>
          <w:i/>
          <w:iCs/>
          <w:color w:val="000000"/>
          <w:sz w:val="24"/>
          <w:szCs w:val="24"/>
          <w:lang w:bidi="en-US"/>
        </w:rPr>
        <w:t xml:space="preserve"> Mesimvria Level 1”], or (iii) 01.10.2027 [in case of Allocated Capacity for “Entry capacity at </w:t>
      </w:r>
      <w:proofErr w:type="spellStart"/>
      <w:r w:rsidRPr="00192F18">
        <w:rPr>
          <w:rFonts w:ascii="Calibri" w:eastAsia="Calibri" w:hAnsi="Calibri" w:cs="Calibri"/>
          <w:i/>
          <w:iCs/>
          <w:color w:val="000000"/>
          <w:sz w:val="24"/>
          <w:szCs w:val="24"/>
          <w:lang w:bidi="en-US"/>
        </w:rPr>
        <w:t>Nea</w:t>
      </w:r>
      <w:proofErr w:type="spellEnd"/>
      <w:r w:rsidRPr="00192F18">
        <w:rPr>
          <w:rFonts w:ascii="Calibri" w:eastAsia="Calibri" w:hAnsi="Calibri" w:cs="Calibri"/>
          <w:i/>
          <w:iCs/>
          <w:color w:val="000000"/>
          <w:sz w:val="24"/>
          <w:szCs w:val="24"/>
          <w:lang w:bidi="en-US"/>
        </w:rPr>
        <w:t xml:space="preserve"> Mesimvria Level 2”]</w:t>
      </w:r>
      <w:r w:rsidRPr="00192F18">
        <w:rPr>
          <w:rFonts w:ascii="Calibri" w:eastAsia="Calibri" w:hAnsi="Calibri" w:cs="Calibri"/>
          <w:color w:val="000000"/>
          <w:sz w:val="24"/>
          <w:szCs w:val="24"/>
          <w:lang w:bidi="en-US"/>
        </w:rPr>
        <w:t xml:space="preserve"> in accordance with the Project Proposal and the Binding Phase notice.</w:t>
      </w:r>
    </w:p>
    <w:p w14:paraId="1160FBA0" w14:textId="77777777" w:rsidR="00192F18" w:rsidRPr="00192F18" w:rsidRDefault="00192F18">
      <w:pPr>
        <w:widowControl w:val="0"/>
        <w:numPr>
          <w:ilvl w:val="2"/>
          <w:numId w:val="45"/>
        </w:numPr>
        <w:tabs>
          <w:tab w:val="left" w:pos="709"/>
        </w:tabs>
        <w:spacing w:after="14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The Company shall be deemed to have accepted that in case any of the authorizations, permissions, easements or any other relevant land rights necessary for the construction phase of the Incremental Capacity Project are not obtained or delayed then the execution times for the implementation of the Incremental Capacity Project by all TSO’s involved shall be considered correspondingly extended and DESFA shall be entitled to also extend the COD and shall have no liability whatsoever to the Company in connection with such delays.</w:t>
      </w:r>
    </w:p>
    <w:p w14:paraId="50A1D794" w14:textId="77777777" w:rsidR="00192F18" w:rsidRPr="00192F18" w:rsidRDefault="00192F18">
      <w:pPr>
        <w:widowControl w:val="0"/>
        <w:numPr>
          <w:ilvl w:val="2"/>
          <w:numId w:val="45"/>
        </w:numPr>
        <w:tabs>
          <w:tab w:val="left" w:pos="709"/>
        </w:tabs>
        <w:spacing w:after="14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In the event of a delay pursuant to Article 2.2.1. above, no later than thirty (30) Days from becoming aware of the delay, DESFA shall notify the Company in writing </w:t>
      </w:r>
      <w:proofErr w:type="gramStart"/>
      <w:r w:rsidRPr="00192F18">
        <w:rPr>
          <w:rFonts w:ascii="Calibri" w:eastAsia="Calibri" w:hAnsi="Calibri" w:cs="Calibri"/>
          <w:color w:val="000000"/>
          <w:sz w:val="24"/>
          <w:szCs w:val="24"/>
          <w:lang w:bidi="en-US"/>
        </w:rPr>
        <w:t>both of the delay</w:t>
      </w:r>
      <w:proofErr w:type="gramEnd"/>
      <w:r w:rsidRPr="00192F18">
        <w:rPr>
          <w:rFonts w:ascii="Calibri" w:eastAsia="Calibri" w:hAnsi="Calibri" w:cs="Calibri"/>
          <w:color w:val="000000"/>
          <w:sz w:val="24"/>
          <w:szCs w:val="24"/>
          <w:lang w:bidi="en-US"/>
        </w:rPr>
        <w:t xml:space="preserve"> and of the permitted extended COD.</w:t>
      </w:r>
    </w:p>
    <w:p w14:paraId="6BD83A48" w14:textId="77777777" w:rsidR="00192F18" w:rsidRPr="00192F18" w:rsidRDefault="00192F18">
      <w:pPr>
        <w:widowControl w:val="0"/>
        <w:numPr>
          <w:ilvl w:val="2"/>
          <w:numId w:val="45"/>
        </w:numPr>
        <w:tabs>
          <w:tab w:val="left" w:pos="709"/>
        </w:tabs>
        <w:spacing w:after="14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In the event of a delay or misalignment in the commercial operation date for concerned TSOs (TAP and DESFA, in case of </w:t>
      </w:r>
      <w:proofErr w:type="spellStart"/>
      <w:r w:rsidRPr="00192F18">
        <w:rPr>
          <w:rFonts w:ascii="Calibri" w:eastAsia="Calibri" w:hAnsi="Calibri" w:cs="Calibri"/>
          <w:color w:val="000000"/>
          <w:sz w:val="24"/>
          <w:szCs w:val="24"/>
          <w:lang w:bidi="en-US"/>
        </w:rPr>
        <w:t>Nea</w:t>
      </w:r>
      <w:proofErr w:type="spellEnd"/>
      <w:r w:rsidRPr="00192F18">
        <w:rPr>
          <w:rFonts w:ascii="Calibri" w:eastAsia="Calibri" w:hAnsi="Calibri" w:cs="Calibri"/>
          <w:color w:val="000000"/>
          <w:sz w:val="24"/>
          <w:szCs w:val="24"/>
          <w:lang w:bidi="en-US"/>
        </w:rPr>
        <w:t xml:space="preserve"> Mesimvria Interconnection Point), DESFA has the right (but not the obligation) to agree with the Company and implement ways of mitigating the consequences of such delay or misalignment, including by amending the COD and by adjusting any bundled capacity allocation, in connection with which DESFA shall have no liability whatsoever to the Company. Any such mitigation is expected to be neutral to DESFA.</w:t>
      </w:r>
    </w:p>
    <w:p w14:paraId="6140BD1D" w14:textId="77777777" w:rsidR="00192F18" w:rsidRPr="00192F18" w:rsidRDefault="00192F18">
      <w:pPr>
        <w:widowControl w:val="0"/>
        <w:numPr>
          <w:ilvl w:val="1"/>
          <w:numId w:val="45"/>
        </w:numPr>
        <w:tabs>
          <w:tab w:val="left" w:pos="728"/>
        </w:tabs>
        <w:spacing w:after="14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As of the fifteenth (15) day before the COD, DESFA shall unilaterally issue the respective Approved Firm Service Application(s) in accordance with the Network code and especially its article 8, </w:t>
      </w:r>
      <w:proofErr w:type="gramStart"/>
      <w:r w:rsidRPr="00192F18">
        <w:rPr>
          <w:rFonts w:ascii="Calibri" w:eastAsia="Calibri" w:hAnsi="Calibri" w:cs="Calibri"/>
          <w:color w:val="000000"/>
          <w:sz w:val="24"/>
          <w:szCs w:val="24"/>
          <w:lang w:bidi="en-US"/>
        </w:rPr>
        <w:t>on the basis of</w:t>
      </w:r>
      <w:proofErr w:type="gramEnd"/>
      <w:r w:rsidRPr="00192F18">
        <w:rPr>
          <w:rFonts w:ascii="Calibri" w:eastAsia="Calibri" w:hAnsi="Calibri" w:cs="Calibri"/>
          <w:color w:val="000000"/>
          <w:sz w:val="24"/>
          <w:szCs w:val="24"/>
          <w:lang w:bidi="en-US"/>
        </w:rPr>
        <w:t xml:space="preserve"> the Allocated Capacity included in the Transportation Confirmation as per Annex I. The Company acknowledges and hereby agrees that such Approved Firm Service Application(s) shall be deemed as Approved Firm Service Application(s) under the Transmission Framework Agreement and shall have all legal effects thereof under </w:t>
      </w:r>
      <w:r w:rsidRPr="00192F18">
        <w:rPr>
          <w:rFonts w:ascii="Calibri" w:eastAsia="Calibri" w:hAnsi="Calibri" w:cs="Calibri"/>
          <w:color w:val="000000"/>
          <w:sz w:val="24"/>
          <w:szCs w:val="24"/>
          <w:lang w:bidi="en-US"/>
        </w:rPr>
        <w:lastRenderedPageBreak/>
        <w:t xml:space="preserve">the Network Code, Tariff </w:t>
      </w:r>
      <w:proofErr w:type="gramStart"/>
      <w:r w:rsidRPr="00192F18">
        <w:rPr>
          <w:rFonts w:ascii="Calibri" w:eastAsia="Calibri" w:hAnsi="Calibri" w:cs="Calibri"/>
          <w:color w:val="000000"/>
          <w:sz w:val="24"/>
          <w:szCs w:val="24"/>
          <w:lang w:bidi="en-US"/>
        </w:rPr>
        <w:t>Regulation</w:t>
      </w:r>
      <w:proofErr w:type="gramEnd"/>
      <w:r w:rsidRPr="00192F18">
        <w:rPr>
          <w:rFonts w:ascii="Calibri" w:eastAsia="Calibri" w:hAnsi="Calibri" w:cs="Calibri"/>
          <w:color w:val="000000"/>
          <w:sz w:val="24"/>
          <w:szCs w:val="24"/>
          <w:lang w:bidi="en-US"/>
        </w:rPr>
        <w:t xml:space="preserve"> and applicable Law.</w:t>
      </w:r>
    </w:p>
    <w:p w14:paraId="0BA3DD2D" w14:textId="77777777" w:rsidR="00192F18" w:rsidRPr="00192F18" w:rsidRDefault="00192F18">
      <w:pPr>
        <w:widowControl w:val="0"/>
        <w:numPr>
          <w:ilvl w:val="1"/>
          <w:numId w:val="45"/>
        </w:numPr>
        <w:tabs>
          <w:tab w:val="left" w:pos="728"/>
        </w:tabs>
        <w:spacing w:after="14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As of the announcement of the Final Investment Decision date by DESFA the Company shall be liable to DESFA for all applicable transmission charges for the Allocated Capacity with start date from the COD and for full duration for which such Capacity has been allocated to the Company pursuant to the provisions of the Tariff Regulation as well as any premium applicable in case of successful participation in an auction among bidders with Equal Marginal Bids and the mandatory premium, if applicable, according to paragraph G.2 of the Project Proposal. Any amount paid by the Company in the context of the Transmission Framework Agreement in regard of the Allocated Capacity shall be considered as payment against the amount owned by the Company under this Agreement. Any outstanding amount under this Agreement (</w:t>
      </w:r>
      <w:proofErr w:type="gramStart"/>
      <w:r w:rsidRPr="00192F18">
        <w:rPr>
          <w:rFonts w:ascii="Calibri" w:eastAsia="Calibri" w:hAnsi="Calibri" w:cs="Calibri"/>
          <w:color w:val="000000"/>
          <w:sz w:val="24"/>
          <w:szCs w:val="24"/>
          <w:lang w:bidi="en-US"/>
        </w:rPr>
        <w:t>i.e.</w:t>
      </w:r>
      <w:proofErr w:type="gramEnd"/>
      <w:r w:rsidRPr="00192F18">
        <w:rPr>
          <w:rFonts w:ascii="Calibri" w:eastAsia="Calibri" w:hAnsi="Calibri" w:cs="Calibri"/>
          <w:color w:val="000000"/>
          <w:sz w:val="24"/>
          <w:szCs w:val="24"/>
          <w:lang w:bidi="en-US"/>
        </w:rPr>
        <w:t xml:space="preserve"> not paid in the context of the Transmission Framework Agreement after its termination for any reason) shall continue to be owed to DESFA by the Company and shall be paid upon simple demand by DESFA. DESFA shall also be entitled to make a claim under the Bank Guarantee.</w:t>
      </w:r>
    </w:p>
    <w:p w14:paraId="2868C072" w14:textId="77777777" w:rsidR="00192F18" w:rsidRPr="00192F18" w:rsidRDefault="00192F18">
      <w:pPr>
        <w:widowControl w:val="0"/>
        <w:numPr>
          <w:ilvl w:val="1"/>
          <w:numId w:val="45"/>
        </w:numPr>
        <w:tabs>
          <w:tab w:val="left" w:pos="728"/>
        </w:tabs>
        <w:spacing w:after="62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The Parties shall be bound by the provisions of the Project Proposal and the Binding Phase Notice throughout the duration of this Agreement and the Transmission Framework Agreement. In the event of any discrepancy between this Agreement and the Project proposal or this Agreement and the Binding Phase Notice, this Agreement prevails.</w:t>
      </w:r>
    </w:p>
    <w:p w14:paraId="55AB98A0" w14:textId="77777777" w:rsidR="00192F18" w:rsidRPr="00192F18" w:rsidRDefault="00192F18">
      <w:pPr>
        <w:keepNext/>
        <w:keepLines/>
        <w:widowControl w:val="0"/>
        <w:numPr>
          <w:ilvl w:val="0"/>
          <w:numId w:val="42"/>
        </w:numPr>
        <w:tabs>
          <w:tab w:val="left" w:pos="956"/>
        </w:tabs>
        <w:spacing w:after="80" w:line="254" w:lineRule="auto"/>
        <w:jc w:val="center"/>
        <w:outlineLvl w:val="3"/>
        <w:rPr>
          <w:rFonts w:ascii="Calibri" w:eastAsia="Calibri" w:hAnsi="Calibri" w:cs="Calibri"/>
          <w:b/>
          <w:bCs/>
          <w:color w:val="000000"/>
          <w:sz w:val="24"/>
          <w:szCs w:val="24"/>
          <w:lang w:bidi="en-US"/>
        </w:rPr>
      </w:pPr>
      <w:bookmarkStart w:id="84" w:name="bookmark36"/>
      <w:r w:rsidRPr="00192F18">
        <w:rPr>
          <w:rFonts w:ascii="Calibri" w:eastAsia="Calibri" w:hAnsi="Calibri" w:cs="Calibri"/>
          <w:b/>
          <w:bCs/>
          <w:color w:val="000000"/>
          <w:sz w:val="24"/>
          <w:szCs w:val="24"/>
          <w:lang w:bidi="en-US"/>
        </w:rPr>
        <w:t>Term and termination</w:t>
      </w:r>
      <w:bookmarkEnd w:id="84"/>
    </w:p>
    <w:p w14:paraId="330B0958" w14:textId="77777777" w:rsidR="00192F18" w:rsidRPr="00192F18" w:rsidRDefault="00192F18">
      <w:pPr>
        <w:widowControl w:val="0"/>
        <w:numPr>
          <w:ilvl w:val="1"/>
          <w:numId w:val="47"/>
        </w:numPr>
        <w:tabs>
          <w:tab w:val="left" w:pos="728"/>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This Agreement starts on the Effective Date and shall remain in force until terminated pursuant to Articles 3.2, 3.3 and 3.5, subject to Article 3.6 below.</w:t>
      </w:r>
    </w:p>
    <w:p w14:paraId="497238EE" w14:textId="77777777" w:rsidR="00192F18" w:rsidRPr="00192F18" w:rsidRDefault="00192F18">
      <w:pPr>
        <w:widowControl w:val="0"/>
        <w:numPr>
          <w:ilvl w:val="1"/>
          <w:numId w:val="47"/>
        </w:numPr>
        <w:tabs>
          <w:tab w:val="left" w:pos="728"/>
        </w:tabs>
        <w:spacing w:after="14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This Agreement shall be terminated at the earlier to occur of:</w:t>
      </w:r>
    </w:p>
    <w:p w14:paraId="3DFED2A2" w14:textId="77777777" w:rsidR="00192F18" w:rsidRPr="00192F18" w:rsidRDefault="00192F18">
      <w:pPr>
        <w:widowControl w:val="0"/>
        <w:numPr>
          <w:ilvl w:val="0"/>
          <w:numId w:val="48"/>
        </w:numPr>
        <w:tabs>
          <w:tab w:val="left" w:pos="728"/>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written Notice by DESFA at the last day of the sixth month succeeding the end of the first Gas Year for which Capacity has been allocated to the Company according to the Transportation Confirmation attached in Annex </w:t>
      </w:r>
      <w:proofErr w:type="gramStart"/>
      <w:r w:rsidRPr="00192F18">
        <w:rPr>
          <w:rFonts w:ascii="Calibri" w:eastAsia="Calibri" w:hAnsi="Calibri" w:cs="Calibri"/>
          <w:color w:val="000000"/>
          <w:sz w:val="24"/>
          <w:szCs w:val="24"/>
          <w:lang w:bidi="en-US"/>
        </w:rPr>
        <w:t>I;</w:t>
      </w:r>
      <w:proofErr w:type="gramEnd"/>
    </w:p>
    <w:p w14:paraId="73E37853" w14:textId="77777777" w:rsidR="00192F18" w:rsidRPr="00192F18" w:rsidRDefault="00192F18">
      <w:pPr>
        <w:widowControl w:val="0"/>
        <w:numPr>
          <w:ilvl w:val="0"/>
          <w:numId w:val="48"/>
        </w:numPr>
        <w:tabs>
          <w:tab w:val="left" w:pos="728"/>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written Notice by DESFA in case any of the Participants that have been Allocated Capacity at the IP </w:t>
      </w:r>
      <w:proofErr w:type="spellStart"/>
      <w:r w:rsidRPr="00192F18">
        <w:rPr>
          <w:rFonts w:ascii="Calibri" w:eastAsia="Calibri" w:hAnsi="Calibri" w:cs="Calibri"/>
          <w:color w:val="000000"/>
          <w:sz w:val="24"/>
          <w:szCs w:val="24"/>
          <w:lang w:bidi="en-US"/>
        </w:rPr>
        <w:t>Nea</w:t>
      </w:r>
      <w:proofErr w:type="spellEnd"/>
      <w:r w:rsidRPr="00192F18">
        <w:rPr>
          <w:rFonts w:ascii="Calibri" w:eastAsia="Calibri" w:hAnsi="Calibri" w:cs="Calibri"/>
          <w:color w:val="000000"/>
          <w:sz w:val="24"/>
          <w:szCs w:val="24"/>
          <w:lang w:bidi="en-US"/>
        </w:rPr>
        <w:t xml:space="preserve"> Mesimvria for the DESFA Part of the Project, upon successful participation in the Binding Bid Phase of the Incremental Capacity Process, have not executed their respective GTAs with either DESFA or TAP by 15.02.2023, as the former notified by the latter by said date </w:t>
      </w:r>
      <w:proofErr w:type="gramStart"/>
      <w:r w:rsidRPr="00192F18">
        <w:rPr>
          <w:rFonts w:ascii="Calibri" w:eastAsia="Calibri" w:hAnsi="Calibri" w:cs="Calibri"/>
          <w:color w:val="000000"/>
          <w:sz w:val="24"/>
          <w:szCs w:val="24"/>
          <w:lang w:bidi="en-US"/>
        </w:rPr>
        <w:t>in regard to</w:t>
      </w:r>
      <w:proofErr w:type="gramEnd"/>
      <w:r w:rsidRPr="00192F18">
        <w:rPr>
          <w:rFonts w:ascii="Calibri" w:eastAsia="Calibri" w:hAnsi="Calibri" w:cs="Calibri"/>
          <w:color w:val="000000"/>
          <w:sz w:val="24"/>
          <w:szCs w:val="24"/>
          <w:lang w:bidi="en-US"/>
        </w:rPr>
        <w:t xml:space="preserve"> the execution of the GTAs relevant to TAP. For the avoidance of doubt, DESFA may not issue such a Notice in case the </w:t>
      </w:r>
      <w:proofErr w:type="spellStart"/>
      <w:r w:rsidRPr="00192F18">
        <w:rPr>
          <w:rFonts w:ascii="Calibri" w:eastAsia="Calibri" w:hAnsi="Calibri" w:cs="Calibri"/>
          <w:color w:val="000000"/>
          <w:sz w:val="24"/>
          <w:szCs w:val="24"/>
          <w:lang w:bidi="en-US"/>
        </w:rPr>
        <w:t>non execution</w:t>
      </w:r>
      <w:proofErr w:type="spellEnd"/>
      <w:r w:rsidRPr="00192F18">
        <w:rPr>
          <w:rFonts w:ascii="Calibri" w:eastAsia="Calibri" w:hAnsi="Calibri" w:cs="Calibri"/>
          <w:color w:val="000000"/>
          <w:sz w:val="24"/>
          <w:szCs w:val="24"/>
          <w:lang w:bidi="en-US"/>
        </w:rPr>
        <w:t xml:space="preserve"> of one or more of the GTAs does not alter the result of the EVT to negative and upon consultation with RAE.</w:t>
      </w:r>
    </w:p>
    <w:p w14:paraId="788C026F" w14:textId="77777777" w:rsidR="00192F18" w:rsidRPr="00192F18" w:rsidRDefault="00192F18">
      <w:pPr>
        <w:widowControl w:val="0"/>
        <w:numPr>
          <w:ilvl w:val="0"/>
          <w:numId w:val="48"/>
        </w:numPr>
        <w:tabs>
          <w:tab w:val="left" w:pos="721"/>
        </w:tabs>
        <w:spacing w:after="14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written Notice by a Party in case the other Party </w:t>
      </w:r>
      <w:proofErr w:type="gramStart"/>
      <w:r w:rsidRPr="00192F18">
        <w:rPr>
          <w:rFonts w:ascii="Calibri" w:eastAsia="Calibri" w:hAnsi="Calibri" w:cs="Calibri"/>
          <w:color w:val="000000"/>
          <w:sz w:val="24"/>
          <w:szCs w:val="24"/>
          <w:lang w:bidi="en-US"/>
        </w:rPr>
        <w:t>enters into</w:t>
      </w:r>
      <w:proofErr w:type="gramEnd"/>
      <w:r w:rsidRPr="00192F18">
        <w:rPr>
          <w:rFonts w:ascii="Calibri" w:eastAsia="Calibri" w:hAnsi="Calibri" w:cs="Calibri"/>
          <w:color w:val="000000"/>
          <w:sz w:val="24"/>
          <w:szCs w:val="24"/>
          <w:lang w:bidi="en-US"/>
        </w:rPr>
        <w:t xml:space="preserve"> insolvency, bankruptcy, reorganization or similar proceedings under applicable Law, and is unable to pay its debts within the meaning of the applicable insolvency legislation or ceases to pay its debts as they fall due.</w:t>
      </w:r>
    </w:p>
    <w:p w14:paraId="2E4646F3" w14:textId="77777777" w:rsidR="00192F18" w:rsidRPr="00192F18" w:rsidRDefault="00192F18">
      <w:pPr>
        <w:widowControl w:val="0"/>
        <w:numPr>
          <w:ilvl w:val="1"/>
          <w:numId w:val="47"/>
        </w:numPr>
        <w:tabs>
          <w:tab w:val="left" w:pos="721"/>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This Agreement shall become fully effective upon the fulfillment, to the satisfaction of </w:t>
      </w:r>
      <w:r w:rsidRPr="00192F18">
        <w:rPr>
          <w:rFonts w:ascii="Calibri" w:eastAsia="Calibri" w:hAnsi="Calibri" w:cs="Calibri"/>
          <w:color w:val="000000"/>
          <w:sz w:val="24"/>
          <w:szCs w:val="24"/>
          <w:lang w:bidi="en-US"/>
        </w:rPr>
        <w:lastRenderedPageBreak/>
        <w:t xml:space="preserve">DESFA and TAP, of all the conditions precedent described in the Project Proposal. For the avoidance of doubt, DESFA is entitled not to proceed with the Incremental Capacity Project, by the Long Stop Date, due to the fact that any of the </w:t>
      </w:r>
      <w:proofErr w:type="gramStart"/>
      <w:r w:rsidRPr="00192F18">
        <w:rPr>
          <w:rFonts w:ascii="Calibri" w:eastAsia="Calibri" w:hAnsi="Calibri" w:cs="Calibri"/>
          <w:color w:val="000000"/>
          <w:sz w:val="24"/>
          <w:szCs w:val="24"/>
          <w:lang w:bidi="en-US"/>
        </w:rPr>
        <w:t>conditions</w:t>
      </w:r>
      <w:proofErr w:type="gramEnd"/>
      <w:r w:rsidRPr="00192F18">
        <w:rPr>
          <w:rFonts w:ascii="Calibri" w:eastAsia="Calibri" w:hAnsi="Calibri" w:cs="Calibri"/>
          <w:color w:val="000000"/>
          <w:sz w:val="24"/>
          <w:szCs w:val="24"/>
          <w:lang w:bidi="en-US"/>
        </w:rPr>
        <w:t xml:space="preserve"> precedent provided for in the Project Proposal and specified herein have not been met or waived by DESFA. Without prejudice to Article 3.2 above, this Agreement shall terminate ipso jure in case </w:t>
      </w:r>
      <w:r w:rsidRPr="00192F18">
        <w:rPr>
          <w:rFonts w:ascii="Calibri" w:eastAsia="Calibri" w:hAnsi="Calibri" w:cs="Calibri"/>
          <w:color w:val="000000"/>
          <w:lang w:bidi="en-US"/>
        </w:rPr>
        <w:t xml:space="preserve">any of the </w:t>
      </w:r>
      <w:r w:rsidRPr="00192F18">
        <w:rPr>
          <w:rFonts w:ascii="Calibri" w:eastAsia="Calibri" w:hAnsi="Calibri" w:cs="Calibri"/>
          <w:color w:val="000000"/>
          <w:sz w:val="24"/>
          <w:szCs w:val="24"/>
          <w:lang w:bidi="en-US"/>
        </w:rPr>
        <w:t>following conditions precedent has not been met to the satisfaction of DESFA:</w:t>
      </w:r>
    </w:p>
    <w:p w14:paraId="591C9E09" w14:textId="77777777" w:rsidR="00192F18" w:rsidRPr="00192F18" w:rsidRDefault="00192F18">
      <w:pPr>
        <w:widowControl w:val="0"/>
        <w:numPr>
          <w:ilvl w:val="0"/>
          <w:numId w:val="49"/>
        </w:numPr>
        <w:tabs>
          <w:tab w:val="left" w:pos="721"/>
        </w:tabs>
        <w:spacing w:after="0" w:line="252"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DESFA Part of Project has not been unconditionally included in DESFA’s approved</w:t>
      </w:r>
    </w:p>
    <w:p w14:paraId="39E79D3B" w14:textId="77777777" w:rsidR="00192F18" w:rsidRPr="00192F18" w:rsidRDefault="00192F18" w:rsidP="00192F18">
      <w:pPr>
        <w:widowControl w:val="0"/>
        <w:spacing w:after="140" w:line="252"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Ten Year Development Plan and DESFA has not proceeded with a Final Investment Decision by the Long Stop Date; or</w:t>
      </w:r>
    </w:p>
    <w:p w14:paraId="0587B1BC" w14:textId="77777777" w:rsidR="00192F18" w:rsidRPr="00192F18" w:rsidRDefault="00192F18">
      <w:pPr>
        <w:widowControl w:val="0"/>
        <w:numPr>
          <w:ilvl w:val="0"/>
          <w:numId w:val="49"/>
        </w:numPr>
        <w:tabs>
          <w:tab w:val="left" w:pos="721"/>
        </w:tabs>
        <w:spacing w:after="14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The relevant GTAs between the Company and all concerned TSOs (TAP and DESFA, in case of </w:t>
      </w:r>
      <w:proofErr w:type="spellStart"/>
      <w:r w:rsidRPr="00192F18">
        <w:rPr>
          <w:rFonts w:ascii="Calibri" w:eastAsia="Calibri" w:hAnsi="Calibri" w:cs="Calibri"/>
          <w:color w:val="000000"/>
          <w:sz w:val="24"/>
          <w:szCs w:val="24"/>
          <w:lang w:bidi="en-US"/>
        </w:rPr>
        <w:t>Nea</w:t>
      </w:r>
      <w:proofErr w:type="spellEnd"/>
      <w:r w:rsidRPr="00192F18">
        <w:rPr>
          <w:rFonts w:ascii="Calibri" w:eastAsia="Calibri" w:hAnsi="Calibri" w:cs="Calibri"/>
          <w:color w:val="000000"/>
          <w:sz w:val="24"/>
          <w:szCs w:val="24"/>
          <w:lang w:bidi="en-US"/>
        </w:rPr>
        <w:t xml:space="preserve"> Mesimvria Interconnection Point) does not, for any reason, become fully effective by the Long Stop Date; or</w:t>
      </w:r>
    </w:p>
    <w:p w14:paraId="41BA2FD8" w14:textId="77777777" w:rsidR="00192F18" w:rsidRPr="00192F18" w:rsidRDefault="00192F18">
      <w:pPr>
        <w:widowControl w:val="0"/>
        <w:numPr>
          <w:ilvl w:val="0"/>
          <w:numId w:val="49"/>
        </w:numPr>
        <w:tabs>
          <w:tab w:val="left" w:pos="721"/>
        </w:tabs>
        <w:spacing w:after="14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TAP has decided not to proceed with the Incremental Capacity Project, and has notified DESFA by the Long Stop Date, </w:t>
      </w:r>
      <w:proofErr w:type="gramStart"/>
      <w:r w:rsidRPr="00192F18">
        <w:rPr>
          <w:rFonts w:ascii="Calibri" w:eastAsia="Calibri" w:hAnsi="Calibri" w:cs="Calibri"/>
          <w:color w:val="000000"/>
          <w:sz w:val="24"/>
          <w:szCs w:val="24"/>
          <w:lang w:bidi="en-US"/>
        </w:rPr>
        <w:t>due to the fact that</w:t>
      </w:r>
      <w:proofErr w:type="gramEnd"/>
      <w:r w:rsidRPr="00192F18">
        <w:rPr>
          <w:rFonts w:ascii="Calibri" w:eastAsia="Calibri" w:hAnsi="Calibri" w:cs="Calibri"/>
          <w:color w:val="000000"/>
          <w:sz w:val="24"/>
          <w:szCs w:val="24"/>
          <w:lang w:bidi="en-US"/>
        </w:rPr>
        <w:t xml:space="preserve"> the Conditions Precedent specific for TAP as described in the Project Proposal have not been met or waived by TAP; or</w:t>
      </w:r>
    </w:p>
    <w:p w14:paraId="1ECA544D" w14:textId="77777777" w:rsidR="00192F18" w:rsidRPr="00192F18" w:rsidRDefault="00192F18">
      <w:pPr>
        <w:widowControl w:val="0"/>
        <w:numPr>
          <w:ilvl w:val="0"/>
          <w:numId w:val="49"/>
        </w:numPr>
        <w:tabs>
          <w:tab w:val="left" w:pos="721"/>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DESFA’s estimations for the cost of the DESFA Part of Project, based on the detailed design following the capacity allocated to the Company after the positive outcome of the Binding Bidding Phase and of the EVT, alters the result of the EVT to negative.</w:t>
      </w:r>
    </w:p>
    <w:p w14:paraId="5310D7DA" w14:textId="77777777" w:rsidR="00192F18" w:rsidRPr="00192F18" w:rsidRDefault="00192F18">
      <w:pPr>
        <w:widowControl w:val="0"/>
        <w:numPr>
          <w:ilvl w:val="1"/>
          <w:numId w:val="50"/>
        </w:numPr>
        <w:tabs>
          <w:tab w:val="left" w:pos="721"/>
        </w:tabs>
        <w:spacing w:after="14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In case of early termination of this Agreement as per Articles 3.2 and 3.3 above, DESFA shall be entitled to recover the actual costs it incurred for the Incremental Capacity Process up to the Termination Date calculated in accordance with the relevant provision of the Project Proposal. The Company shall pay the charges invoiced by DESFA for such costs within twenty (20) days from DESFA’s Notice. DESFA shall be entitled to make a claim under the Bank Guarantee if said invoices are not duly and timely </w:t>
      </w:r>
      <w:proofErr w:type="spellStart"/>
      <w:r w:rsidRPr="00192F18">
        <w:rPr>
          <w:rFonts w:ascii="Calibri" w:eastAsia="Calibri" w:hAnsi="Calibri" w:cs="Calibri"/>
          <w:color w:val="000000"/>
          <w:sz w:val="24"/>
          <w:szCs w:val="24"/>
          <w:lang w:bidi="en-US"/>
        </w:rPr>
        <w:t>payed</w:t>
      </w:r>
      <w:proofErr w:type="spellEnd"/>
      <w:r w:rsidRPr="00192F18">
        <w:rPr>
          <w:rFonts w:ascii="Calibri" w:eastAsia="Calibri" w:hAnsi="Calibri" w:cs="Calibri"/>
          <w:color w:val="000000"/>
          <w:sz w:val="24"/>
          <w:szCs w:val="24"/>
          <w:lang w:bidi="en-US"/>
        </w:rPr>
        <w:t xml:space="preserve"> by the Company.</w:t>
      </w:r>
    </w:p>
    <w:p w14:paraId="4835A3C8" w14:textId="77777777" w:rsidR="00192F18" w:rsidRPr="00192F18" w:rsidRDefault="00192F18">
      <w:pPr>
        <w:widowControl w:val="0"/>
        <w:numPr>
          <w:ilvl w:val="1"/>
          <w:numId w:val="50"/>
        </w:numPr>
        <w:tabs>
          <w:tab w:val="left" w:pos="721"/>
        </w:tabs>
        <w:spacing w:after="14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Without prejudice to any other right, remedy or power contained in this Agreement or at Law, either Party may terminate this Agreement if the other Party is in material breach of any of its obligations herein. Material breach shall be the failure by either Party to perform any of its obligations resulting from or arising out of or in connection with this Agreement. Where such breach is capable of remedy, the </w:t>
      </w:r>
      <w:proofErr w:type="spellStart"/>
      <w:r w:rsidRPr="00192F18">
        <w:rPr>
          <w:rFonts w:ascii="Calibri" w:eastAsia="Calibri" w:hAnsi="Calibri" w:cs="Calibri"/>
          <w:color w:val="000000"/>
          <w:sz w:val="24"/>
          <w:szCs w:val="24"/>
          <w:lang w:bidi="en-US"/>
        </w:rPr>
        <w:t>non</w:t>
      </w:r>
      <w:r w:rsidRPr="00192F18">
        <w:rPr>
          <w:rFonts w:ascii="Calibri" w:eastAsia="Calibri" w:hAnsi="Calibri" w:cs="Calibri"/>
          <w:color w:val="000000"/>
          <w:sz w:val="24"/>
          <w:szCs w:val="24"/>
          <w:lang w:bidi="en-US"/>
        </w:rPr>
        <w:softHyphen/>
        <w:t>defaulting</w:t>
      </w:r>
      <w:proofErr w:type="spellEnd"/>
      <w:r w:rsidRPr="00192F18">
        <w:rPr>
          <w:rFonts w:ascii="Calibri" w:eastAsia="Calibri" w:hAnsi="Calibri" w:cs="Calibri"/>
          <w:color w:val="000000"/>
          <w:sz w:val="24"/>
          <w:szCs w:val="24"/>
          <w:lang w:bidi="en-US"/>
        </w:rPr>
        <w:t xml:space="preserve"> Party is entitled to seek remedy by notifying a written Notice to the defaulting Party. If the notified Party fails to remedy such breach within the deadline set in the Notice, the non-defaulting Party may terminate this Agreement and claim indemnity for damages, compensation of costs or otherwise pursuant to Article 5 and shall also be entitled to make a claim under the Bank Guarantee.</w:t>
      </w:r>
    </w:p>
    <w:p w14:paraId="4CD9047A" w14:textId="77777777" w:rsidR="00192F18" w:rsidRPr="00192F18" w:rsidRDefault="00192F18">
      <w:pPr>
        <w:widowControl w:val="0"/>
        <w:numPr>
          <w:ilvl w:val="1"/>
          <w:numId w:val="50"/>
        </w:numPr>
        <w:tabs>
          <w:tab w:val="left" w:pos="716"/>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Upon termination of this Agreement the Parties shall have no further obligations on the Termination Date, but termination shall not affect:</w:t>
      </w:r>
    </w:p>
    <w:p w14:paraId="3C8D8779" w14:textId="77777777" w:rsidR="00192F18" w:rsidRPr="00192F18" w:rsidRDefault="00192F18">
      <w:pPr>
        <w:widowControl w:val="0"/>
        <w:numPr>
          <w:ilvl w:val="0"/>
          <w:numId w:val="51"/>
        </w:numPr>
        <w:tabs>
          <w:tab w:val="left" w:pos="716"/>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the provisions of the Agreement as they relate to the payment of any sum due by one Party to the other Party in relation to this </w:t>
      </w:r>
      <w:proofErr w:type="gramStart"/>
      <w:r w:rsidRPr="00192F18">
        <w:rPr>
          <w:rFonts w:ascii="Calibri" w:eastAsia="Calibri" w:hAnsi="Calibri" w:cs="Calibri"/>
          <w:color w:val="000000"/>
          <w:sz w:val="24"/>
          <w:szCs w:val="24"/>
          <w:lang w:bidi="en-US"/>
        </w:rPr>
        <w:t>Agreement;</w:t>
      </w:r>
      <w:proofErr w:type="gramEnd"/>
      <w:r w:rsidRPr="00192F18">
        <w:rPr>
          <w:rFonts w:ascii="Calibri" w:eastAsia="Calibri" w:hAnsi="Calibri" w:cs="Calibri"/>
          <w:color w:val="000000"/>
          <w:sz w:val="24"/>
          <w:szCs w:val="24"/>
          <w:lang w:bidi="en-US"/>
        </w:rPr>
        <w:t xml:space="preserve"> and</w:t>
      </w:r>
    </w:p>
    <w:p w14:paraId="1C930DEB" w14:textId="77777777" w:rsidR="00192F18" w:rsidRPr="00192F18" w:rsidRDefault="00192F18">
      <w:pPr>
        <w:widowControl w:val="0"/>
        <w:numPr>
          <w:ilvl w:val="0"/>
          <w:numId w:val="51"/>
        </w:numPr>
        <w:tabs>
          <w:tab w:val="left" w:pos="716"/>
        </w:tabs>
        <w:spacing w:after="14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the rights and obligations of the Parties pursuant to Articles 2.4. (Scope of the </w:t>
      </w:r>
      <w:r w:rsidRPr="00192F18">
        <w:rPr>
          <w:rFonts w:ascii="Calibri" w:eastAsia="Calibri" w:hAnsi="Calibri" w:cs="Calibri"/>
          <w:color w:val="000000"/>
          <w:sz w:val="24"/>
          <w:szCs w:val="24"/>
          <w:lang w:bidi="en-US"/>
        </w:rPr>
        <w:lastRenderedPageBreak/>
        <w:t>Agreement and Obligations of the Parties), 8 (Confidentiality), 11 (Governing Law and Dispute Resolution) and 12.3 (Notices) that shall continue in full force and effect; and</w:t>
      </w:r>
    </w:p>
    <w:p w14:paraId="5089A57F" w14:textId="77777777" w:rsidR="00192F18" w:rsidRPr="00192F18" w:rsidRDefault="00192F18">
      <w:pPr>
        <w:widowControl w:val="0"/>
        <w:numPr>
          <w:ilvl w:val="0"/>
          <w:numId w:val="51"/>
        </w:numPr>
        <w:tabs>
          <w:tab w:val="left" w:pos="716"/>
        </w:tabs>
        <w:spacing w:after="62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a Party's right to claim for a breach of the other Party's obligations in relation to this Agreement if that breach occurred before termination.</w:t>
      </w:r>
    </w:p>
    <w:p w14:paraId="4B9ECAA9" w14:textId="77777777" w:rsidR="00192F18" w:rsidRPr="00192F18" w:rsidRDefault="00192F18">
      <w:pPr>
        <w:keepNext/>
        <w:keepLines/>
        <w:widowControl w:val="0"/>
        <w:numPr>
          <w:ilvl w:val="0"/>
          <w:numId w:val="52"/>
        </w:numPr>
        <w:tabs>
          <w:tab w:val="left" w:pos="961"/>
        </w:tabs>
        <w:spacing w:after="80" w:line="254" w:lineRule="auto"/>
        <w:jc w:val="center"/>
        <w:outlineLvl w:val="3"/>
        <w:rPr>
          <w:rFonts w:ascii="Calibri" w:eastAsia="Calibri" w:hAnsi="Calibri" w:cs="Calibri"/>
          <w:b/>
          <w:bCs/>
          <w:color w:val="000000"/>
          <w:sz w:val="24"/>
          <w:szCs w:val="24"/>
          <w:lang w:bidi="en-US"/>
        </w:rPr>
      </w:pPr>
      <w:bookmarkStart w:id="85" w:name="bookmark38"/>
      <w:r w:rsidRPr="00192F18">
        <w:rPr>
          <w:rFonts w:ascii="Calibri" w:eastAsia="Calibri" w:hAnsi="Calibri" w:cs="Calibri"/>
          <w:b/>
          <w:bCs/>
          <w:color w:val="000000"/>
          <w:sz w:val="24"/>
          <w:szCs w:val="24"/>
          <w:lang w:bidi="en-US"/>
        </w:rPr>
        <w:t>Guarantee</w:t>
      </w:r>
      <w:bookmarkEnd w:id="85"/>
    </w:p>
    <w:p w14:paraId="25D180D9" w14:textId="77777777" w:rsidR="00192F18" w:rsidRPr="00192F18" w:rsidRDefault="00192F18">
      <w:pPr>
        <w:widowControl w:val="0"/>
        <w:numPr>
          <w:ilvl w:val="1"/>
          <w:numId w:val="53"/>
        </w:numPr>
        <w:tabs>
          <w:tab w:val="left" w:pos="716"/>
        </w:tabs>
        <w:spacing w:after="14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The Company presented to DESFA a Bank Guarantee, on first demand, issued by (</w:t>
      </w:r>
      <w:proofErr w:type="spellStart"/>
      <w:r w:rsidRPr="00192F18">
        <w:rPr>
          <w:rFonts w:ascii="Calibri" w:eastAsia="Calibri" w:hAnsi="Calibri" w:cs="Calibri"/>
          <w:color w:val="000000"/>
          <w:sz w:val="24"/>
          <w:szCs w:val="24"/>
          <w:lang w:bidi="en-US"/>
        </w:rPr>
        <w:t>i</w:t>
      </w:r>
      <w:proofErr w:type="spellEnd"/>
      <w:r w:rsidRPr="00192F18">
        <w:rPr>
          <w:rFonts w:ascii="Calibri" w:eastAsia="Calibri" w:hAnsi="Calibri" w:cs="Calibri"/>
          <w:color w:val="000000"/>
          <w:sz w:val="24"/>
          <w:szCs w:val="24"/>
          <w:lang w:bidi="en-US"/>
        </w:rPr>
        <w:t>) any Greek financial institute supervised by the ECB (systemic Banks, namely any of Alpha Bank, Eurobank, National Bank of Greece and Piraeus Bank) including their subsidiaries, or (ii) any Greek branch of an internationally reputable bank with a minimum investment grade credit rating from the following Agencies: BBB at Standard and Poor’s, BBB at Fitch or Baa3 at Moody’s, or (iii) any internationally reputable bank with a minimum investment grade credit rating (as described above), or (iv) any subsidiary of an internationally reputable bank with a minimum investment grade credit rating (as described above), or (v) any subsidiary of an internationally reputable bank without a minimum investment grade credit rating (or without any rating at all), provided that the Bank Guarantee is counter-guaranteed by any internationally reputable bank with a minimum investment grade credit rating (as described above), which has been approved in advance by DESFA, for an amount of [•] € ([•] Euros) and for the duration provided for in Article 3.2.(a), i.e. until [DD/MM/YYYY], the Bank Guarantee itself attached in Annex II. The Bank Guarantee has the form provided for in the Binding Phase notice and its amount has been calculated in accordance with the relevant provisions of the Project Proposal.</w:t>
      </w:r>
    </w:p>
    <w:p w14:paraId="7148DB4C" w14:textId="77777777" w:rsidR="00192F18" w:rsidRPr="00192F18" w:rsidRDefault="00192F18">
      <w:pPr>
        <w:widowControl w:val="0"/>
        <w:numPr>
          <w:ilvl w:val="1"/>
          <w:numId w:val="53"/>
        </w:numPr>
        <w:tabs>
          <w:tab w:val="left" w:pos="716"/>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Thirty (30) days before the COD, the Company shall present to DESFA the TFA Guarantee for the Approved Firm Service Application(s) pursuant to Article 2.3.</w:t>
      </w:r>
    </w:p>
    <w:p w14:paraId="1311E3FB" w14:textId="77777777" w:rsidR="00192F18" w:rsidRPr="00192F18" w:rsidRDefault="00192F18">
      <w:pPr>
        <w:widowControl w:val="0"/>
        <w:numPr>
          <w:ilvl w:val="1"/>
          <w:numId w:val="53"/>
        </w:numPr>
        <w:tabs>
          <w:tab w:val="left" w:pos="716"/>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The Company is entitled to request the reduction of its GTA Guarantee up to an amount of the TFA Guarantee, subject to Article 4.2.</w:t>
      </w:r>
    </w:p>
    <w:p w14:paraId="3063C0EB" w14:textId="77777777" w:rsidR="00192F18" w:rsidRPr="00192F18" w:rsidRDefault="00192F18">
      <w:pPr>
        <w:widowControl w:val="0"/>
        <w:numPr>
          <w:ilvl w:val="1"/>
          <w:numId w:val="53"/>
        </w:numPr>
        <w:tabs>
          <w:tab w:val="left" w:pos="716"/>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The Company undertakes to </w:t>
      </w:r>
      <w:proofErr w:type="gramStart"/>
      <w:r w:rsidRPr="00192F18">
        <w:rPr>
          <w:rFonts w:ascii="Calibri" w:eastAsia="Calibri" w:hAnsi="Calibri" w:cs="Calibri"/>
          <w:color w:val="000000"/>
          <w:sz w:val="24"/>
          <w:szCs w:val="24"/>
          <w:lang w:bidi="en-US"/>
        </w:rPr>
        <w:t>keep at all times</w:t>
      </w:r>
      <w:proofErr w:type="gramEnd"/>
      <w:r w:rsidRPr="00192F18">
        <w:rPr>
          <w:rFonts w:ascii="Calibri" w:eastAsia="Calibri" w:hAnsi="Calibri" w:cs="Calibri"/>
          <w:color w:val="000000"/>
          <w:sz w:val="24"/>
          <w:szCs w:val="24"/>
          <w:lang w:bidi="en-US"/>
        </w:rPr>
        <w:t xml:space="preserve"> the GTA Guarantee in full force and effect up to the Termination Date and for the amount provided for in Article 4.1, subject to Article 4.3. In case of partial forfeiture of the GTA Guarantee for any reason, the Company undertakes to take all necessary actions, within five (5) working days, </w:t>
      </w:r>
      <w:proofErr w:type="gramStart"/>
      <w:r w:rsidRPr="00192F18">
        <w:rPr>
          <w:rFonts w:ascii="Calibri" w:eastAsia="Calibri" w:hAnsi="Calibri" w:cs="Calibri"/>
          <w:color w:val="000000"/>
          <w:sz w:val="24"/>
          <w:szCs w:val="24"/>
          <w:lang w:bidi="en-US"/>
        </w:rPr>
        <w:t>in order to</w:t>
      </w:r>
      <w:proofErr w:type="gramEnd"/>
      <w:r w:rsidRPr="00192F18">
        <w:rPr>
          <w:rFonts w:ascii="Calibri" w:eastAsia="Calibri" w:hAnsi="Calibri" w:cs="Calibri"/>
          <w:color w:val="000000"/>
          <w:sz w:val="24"/>
          <w:szCs w:val="24"/>
          <w:lang w:bidi="en-US"/>
        </w:rPr>
        <w:t xml:space="preserve"> ensure that the GTA Guarantee held by DESFA will fully cover the amount provided for in Article 4.1 above.</w:t>
      </w:r>
    </w:p>
    <w:p w14:paraId="7DECBBB4" w14:textId="77777777" w:rsidR="00192F18" w:rsidRPr="00192F18" w:rsidRDefault="00192F18">
      <w:pPr>
        <w:widowControl w:val="0"/>
        <w:numPr>
          <w:ilvl w:val="1"/>
          <w:numId w:val="53"/>
        </w:numPr>
        <w:tabs>
          <w:tab w:val="left" w:pos="725"/>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The GTA Guarantee shall be returned to the Company upon:</w:t>
      </w:r>
    </w:p>
    <w:p w14:paraId="7DE9DB67" w14:textId="77777777" w:rsidR="00192F18" w:rsidRPr="00192F18" w:rsidRDefault="00192F18">
      <w:pPr>
        <w:widowControl w:val="0"/>
        <w:numPr>
          <w:ilvl w:val="0"/>
          <w:numId w:val="54"/>
        </w:numPr>
        <w:tabs>
          <w:tab w:val="left" w:pos="725"/>
        </w:tabs>
        <w:spacing w:after="14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the last day of the sixth month succeeding the end of the first Gas Year of the Allocated Capacity, subject to the duly and timely payment by the Company of the applicable charges as invoiced by DESFA for that Gas Year according to the Framework Transmission Agreement, the Network </w:t>
      </w:r>
      <w:proofErr w:type="gramStart"/>
      <w:r w:rsidRPr="00192F18">
        <w:rPr>
          <w:rFonts w:ascii="Calibri" w:eastAsia="Calibri" w:hAnsi="Calibri" w:cs="Calibri"/>
          <w:color w:val="000000"/>
          <w:sz w:val="24"/>
          <w:szCs w:val="24"/>
          <w:lang w:bidi="en-US"/>
        </w:rPr>
        <w:t>Code</w:t>
      </w:r>
      <w:proofErr w:type="gramEnd"/>
      <w:r w:rsidRPr="00192F18">
        <w:rPr>
          <w:rFonts w:ascii="Calibri" w:eastAsia="Calibri" w:hAnsi="Calibri" w:cs="Calibri"/>
          <w:color w:val="000000"/>
          <w:sz w:val="24"/>
          <w:szCs w:val="24"/>
          <w:lang w:bidi="en-US"/>
        </w:rPr>
        <w:t xml:space="preserve"> and the Tariff Regulation; or</w:t>
      </w:r>
    </w:p>
    <w:p w14:paraId="0F92F7BB" w14:textId="77777777" w:rsidR="00192F18" w:rsidRPr="00192F18" w:rsidRDefault="00192F18">
      <w:pPr>
        <w:widowControl w:val="0"/>
        <w:numPr>
          <w:ilvl w:val="0"/>
          <w:numId w:val="54"/>
        </w:numPr>
        <w:tabs>
          <w:tab w:val="left" w:pos="725"/>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the sixty (60) day after 15.02.2023 pursuant to Article 3.2.(b); or</w:t>
      </w:r>
    </w:p>
    <w:p w14:paraId="14367769" w14:textId="77777777" w:rsidR="00192F18" w:rsidRPr="00192F18" w:rsidRDefault="00192F18">
      <w:pPr>
        <w:widowControl w:val="0"/>
        <w:numPr>
          <w:ilvl w:val="0"/>
          <w:numId w:val="54"/>
        </w:numPr>
        <w:tabs>
          <w:tab w:val="left" w:pos="725"/>
        </w:tabs>
        <w:spacing w:after="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lastRenderedPageBreak/>
        <w:t xml:space="preserve">the sixty (60) day after the settlement of DESFA’s actual cost as per Article </w:t>
      </w:r>
      <w:proofErr w:type="gramStart"/>
      <w:r w:rsidRPr="00192F18">
        <w:rPr>
          <w:rFonts w:ascii="Calibri" w:eastAsia="Calibri" w:hAnsi="Calibri" w:cs="Calibri"/>
          <w:color w:val="000000"/>
          <w:sz w:val="24"/>
          <w:szCs w:val="24"/>
          <w:lang w:bidi="en-US"/>
        </w:rPr>
        <w:t>3.4;</w:t>
      </w:r>
      <w:proofErr w:type="gramEnd"/>
    </w:p>
    <w:p w14:paraId="088FACA6" w14:textId="77777777" w:rsidR="00192F18" w:rsidRPr="00192F18" w:rsidRDefault="00192F18" w:rsidP="00192F18">
      <w:pPr>
        <w:widowControl w:val="0"/>
        <w:spacing w:after="2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or</w:t>
      </w:r>
    </w:p>
    <w:p w14:paraId="0ADF03F2" w14:textId="77777777" w:rsidR="00192F18" w:rsidRPr="00192F18" w:rsidRDefault="00192F18">
      <w:pPr>
        <w:widowControl w:val="0"/>
        <w:numPr>
          <w:ilvl w:val="0"/>
          <w:numId w:val="54"/>
        </w:numPr>
        <w:tabs>
          <w:tab w:val="left" w:pos="725"/>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the sixty (60) day after the Long Stop Date pursuant to Article 3.3.</w:t>
      </w:r>
    </w:p>
    <w:p w14:paraId="28A711C3" w14:textId="77777777" w:rsidR="00192F18" w:rsidRPr="00192F18" w:rsidRDefault="00192F18" w:rsidP="00192F18">
      <w:pPr>
        <w:widowControl w:val="0"/>
        <w:spacing w:after="62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unless DESFA has raised claims under the GTA Guarantee prior to such date for the reasons provided for in Articles 2.1.(c) and 2.4 as well as in Articles 3.4 and 3.5, in which case the GTA Guarantee shall remain in force until DESFA's claim has been fully and unconditionally satisfied or settled, in accordance to Article 5.</w:t>
      </w:r>
    </w:p>
    <w:p w14:paraId="2C613E2F" w14:textId="77777777" w:rsidR="00192F18" w:rsidRPr="00192F18" w:rsidRDefault="00192F18">
      <w:pPr>
        <w:keepNext/>
        <w:keepLines/>
        <w:widowControl w:val="0"/>
        <w:numPr>
          <w:ilvl w:val="0"/>
          <w:numId w:val="52"/>
        </w:numPr>
        <w:tabs>
          <w:tab w:val="left" w:pos="956"/>
        </w:tabs>
        <w:spacing w:after="80" w:line="257" w:lineRule="auto"/>
        <w:jc w:val="center"/>
        <w:outlineLvl w:val="3"/>
        <w:rPr>
          <w:rFonts w:ascii="Calibri" w:eastAsia="Calibri" w:hAnsi="Calibri" w:cs="Calibri"/>
          <w:b/>
          <w:bCs/>
          <w:color w:val="000000"/>
          <w:sz w:val="24"/>
          <w:szCs w:val="24"/>
          <w:lang w:bidi="en-US"/>
        </w:rPr>
      </w:pPr>
      <w:bookmarkStart w:id="86" w:name="bookmark40"/>
      <w:r w:rsidRPr="00192F18">
        <w:rPr>
          <w:rFonts w:ascii="Calibri" w:eastAsia="Calibri" w:hAnsi="Calibri" w:cs="Calibri"/>
          <w:b/>
          <w:bCs/>
          <w:color w:val="000000"/>
          <w:sz w:val="24"/>
          <w:szCs w:val="24"/>
          <w:lang w:bidi="en-US"/>
        </w:rPr>
        <w:t>Liability</w:t>
      </w:r>
      <w:bookmarkEnd w:id="86"/>
    </w:p>
    <w:p w14:paraId="299B4A79" w14:textId="77777777" w:rsidR="00192F18" w:rsidRPr="00192F18" w:rsidRDefault="00192F18">
      <w:pPr>
        <w:widowControl w:val="0"/>
        <w:numPr>
          <w:ilvl w:val="1"/>
          <w:numId w:val="55"/>
        </w:numPr>
        <w:tabs>
          <w:tab w:val="left" w:pos="725"/>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The Company shall indemnify and hold DESFA harmless as of the Effective Date up to the Termination Date for any direct loss, claim, cost, charge, expense, liability and/or damage resulting from or arising out of or in connection with this Agreement or the performance or non-performance or the material breach of its obligations under this Agreement.</w:t>
      </w:r>
    </w:p>
    <w:p w14:paraId="4584BCAE" w14:textId="77777777" w:rsidR="00192F18" w:rsidRPr="00192F18" w:rsidRDefault="00192F18">
      <w:pPr>
        <w:widowControl w:val="0"/>
        <w:numPr>
          <w:ilvl w:val="1"/>
          <w:numId w:val="55"/>
        </w:numPr>
        <w:tabs>
          <w:tab w:val="left" w:pos="725"/>
        </w:tabs>
        <w:spacing w:after="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(a) DESFA shall indemnify and hold the Company harmless as of the Final</w:t>
      </w:r>
    </w:p>
    <w:p w14:paraId="104725F2" w14:textId="77777777" w:rsidR="00192F18" w:rsidRPr="00192F18" w:rsidRDefault="00192F18" w:rsidP="00192F18">
      <w:pPr>
        <w:widowControl w:val="0"/>
        <w:spacing w:after="14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Investment Decision up to the Termination Date for any direct loss, claim, cost, charge, expense, liability and/or damage resulting from or arising out of or in connection with this Agreement or the performance or non-performance or the material breach of its obligations under this Agreement.</w:t>
      </w:r>
    </w:p>
    <w:p w14:paraId="14877A60" w14:textId="77777777" w:rsidR="00192F18" w:rsidRPr="00192F18" w:rsidRDefault="00192F18" w:rsidP="00192F18">
      <w:pPr>
        <w:widowControl w:val="0"/>
        <w:spacing w:after="140" w:line="257" w:lineRule="auto"/>
        <w:ind w:firstLine="740"/>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(b) DESFA shall not be liable to the Company as of the Effective Date up and until the Long Stop Date for any direct loss, claim, cost, charge, expense, liability and/or damage resulting from or arising out of or in connection with this Agreement or the performance or non-performance of its obligations under this Agreement or otherwise in connection with the Incremental Capacity Project with the exception of cases of willful misconduct or gross negligence.</w:t>
      </w:r>
    </w:p>
    <w:p w14:paraId="2C6E76F7" w14:textId="77777777" w:rsidR="00192F18" w:rsidRPr="00192F18" w:rsidRDefault="00192F18">
      <w:pPr>
        <w:widowControl w:val="0"/>
        <w:numPr>
          <w:ilvl w:val="1"/>
          <w:numId w:val="55"/>
        </w:numPr>
        <w:tabs>
          <w:tab w:val="left" w:pos="725"/>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In no event shall either Party be liable to the other Party as of the Effective Date up to the Termination Date for any Consequential Loss resulting from or arising out of or in connection with this Agreement or the performance or non-performance or any breach of its obligations under this Agreement or otherwise in connection with the Incremental Capacity Project.</w:t>
      </w:r>
    </w:p>
    <w:p w14:paraId="24D69D27" w14:textId="77777777" w:rsidR="00192F18" w:rsidRPr="00192F18" w:rsidRDefault="00192F18">
      <w:pPr>
        <w:widowControl w:val="0"/>
        <w:numPr>
          <w:ilvl w:val="1"/>
          <w:numId w:val="55"/>
        </w:numPr>
        <w:tabs>
          <w:tab w:val="left" w:pos="724"/>
        </w:tabs>
        <w:spacing w:after="14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As of the date on which DESFA will take the Final Investment Decision for the DESFA part of the Project up and until COD or its permitted extension pursuant to Article 2.2.1, DESFA’s aggregate liability to the Company for any matters arising under or in connection with this Agreement or otherwise in connection with the Incremental Capacity Project, with the exception of cases of willful misconduct or gross negligence, shall not exceed in the aggregate of one million (1.000.000€) euros.</w:t>
      </w:r>
    </w:p>
    <w:p w14:paraId="58579637" w14:textId="77777777" w:rsidR="00192F18" w:rsidRPr="00192F18" w:rsidRDefault="00192F18">
      <w:pPr>
        <w:widowControl w:val="0"/>
        <w:numPr>
          <w:ilvl w:val="1"/>
          <w:numId w:val="55"/>
        </w:numPr>
        <w:tabs>
          <w:tab w:val="left" w:pos="724"/>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The Company hereby expressly acknowledge that if:</w:t>
      </w:r>
    </w:p>
    <w:p w14:paraId="332AACE6" w14:textId="77777777" w:rsidR="00192F18" w:rsidRPr="00192F18" w:rsidRDefault="00192F18">
      <w:pPr>
        <w:widowControl w:val="0"/>
        <w:numPr>
          <w:ilvl w:val="0"/>
          <w:numId w:val="56"/>
        </w:numPr>
        <w:tabs>
          <w:tab w:val="left" w:pos="724"/>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the Company terminates this Agreement prior to date mentioned in Article 3.2.(a) for </w:t>
      </w:r>
      <w:r w:rsidRPr="00192F18">
        <w:rPr>
          <w:rFonts w:ascii="Calibri" w:eastAsia="Calibri" w:hAnsi="Calibri" w:cs="Calibri"/>
          <w:color w:val="000000"/>
          <w:sz w:val="24"/>
          <w:szCs w:val="24"/>
          <w:lang w:bidi="en-US"/>
        </w:rPr>
        <w:lastRenderedPageBreak/>
        <w:t>reason non-attributable to DESFA or</w:t>
      </w:r>
    </w:p>
    <w:p w14:paraId="0737C322" w14:textId="77777777" w:rsidR="00192F18" w:rsidRPr="00192F18" w:rsidRDefault="00192F18">
      <w:pPr>
        <w:widowControl w:val="0"/>
        <w:numPr>
          <w:ilvl w:val="0"/>
          <w:numId w:val="56"/>
        </w:numPr>
        <w:tabs>
          <w:tab w:val="left" w:pos="724"/>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the implementation of the DESFA Part of the Project becomes no longer economically viable for reasons attributable to the </w:t>
      </w:r>
      <w:proofErr w:type="gramStart"/>
      <w:r w:rsidRPr="00192F18">
        <w:rPr>
          <w:rFonts w:ascii="Calibri" w:eastAsia="Calibri" w:hAnsi="Calibri" w:cs="Calibri"/>
          <w:color w:val="000000"/>
          <w:sz w:val="24"/>
          <w:szCs w:val="24"/>
          <w:lang w:bidi="en-US"/>
        </w:rPr>
        <w:t>Company;</w:t>
      </w:r>
      <w:proofErr w:type="gramEnd"/>
    </w:p>
    <w:p w14:paraId="01459F16" w14:textId="77777777" w:rsidR="00192F18" w:rsidRPr="00192F18" w:rsidRDefault="00192F18" w:rsidP="00192F18">
      <w:pPr>
        <w:widowControl w:val="0"/>
        <w:spacing w:after="62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the Company shall be held liable to DESFA and shall be obliged to pay to DESFA all actual costs incurred by DESFA up to that time for the implementation of the Incremental Capacity Project and the construction of the DESFA Part of the Project as well as any amounts DESFA may be required to pay to third parties </w:t>
      </w:r>
      <w:proofErr w:type="gramStart"/>
      <w:r w:rsidRPr="00192F18">
        <w:rPr>
          <w:rFonts w:ascii="Calibri" w:eastAsia="Calibri" w:hAnsi="Calibri" w:cs="Calibri"/>
          <w:color w:val="000000"/>
          <w:sz w:val="24"/>
          <w:szCs w:val="24"/>
          <w:lang w:bidi="en-US"/>
        </w:rPr>
        <w:t>as a result of</w:t>
      </w:r>
      <w:proofErr w:type="gramEnd"/>
      <w:r w:rsidRPr="00192F18">
        <w:rPr>
          <w:rFonts w:ascii="Calibri" w:eastAsia="Calibri" w:hAnsi="Calibri" w:cs="Calibri"/>
          <w:color w:val="000000"/>
          <w:sz w:val="24"/>
          <w:szCs w:val="24"/>
          <w:lang w:bidi="en-US"/>
        </w:rPr>
        <w:t xml:space="preserve"> the events mentioned in (a) and (b) above. For the avoidance of doubt, DESFA will be fully reimbursed for the actual costs incurred and the amounts that it may be required to pay to third parties, as per above, once.</w:t>
      </w:r>
    </w:p>
    <w:p w14:paraId="66F4B727" w14:textId="77777777" w:rsidR="00192F18" w:rsidRPr="00192F18" w:rsidRDefault="00192F18">
      <w:pPr>
        <w:keepNext/>
        <w:keepLines/>
        <w:widowControl w:val="0"/>
        <w:numPr>
          <w:ilvl w:val="0"/>
          <w:numId w:val="52"/>
        </w:numPr>
        <w:tabs>
          <w:tab w:val="left" w:pos="961"/>
        </w:tabs>
        <w:spacing w:after="80" w:line="257" w:lineRule="auto"/>
        <w:jc w:val="center"/>
        <w:outlineLvl w:val="3"/>
        <w:rPr>
          <w:rFonts w:ascii="Calibri" w:eastAsia="Calibri" w:hAnsi="Calibri" w:cs="Calibri"/>
          <w:b/>
          <w:bCs/>
          <w:color w:val="000000"/>
          <w:sz w:val="24"/>
          <w:szCs w:val="24"/>
          <w:lang w:bidi="en-US"/>
        </w:rPr>
      </w:pPr>
      <w:bookmarkStart w:id="87" w:name="bookmark42"/>
      <w:r w:rsidRPr="00192F18">
        <w:rPr>
          <w:rFonts w:ascii="Calibri" w:eastAsia="Calibri" w:hAnsi="Calibri" w:cs="Calibri"/>
          <w:b/>
          <w:bCs/>
          <w:color w:val="000000"/>
          <w:sz w:val="24"/>
          <w:szCs w:val="24"/>
          <w:lang w:bidi="en-US"/>
        </w:rPr>
        <w:t>Succession and Assignment</w:t>
      </w:r>
      <w:bookmarkEnd w:id="87"/>
    </w:p>
    <w:p w14:paraId="55233ACB" w14:textId="77777777" w:rsidR="00192F18" w:rsidRPr="00192F18" w:rsidRDefault="00192F18">
      <w:pPr>
        <w:widowControl w:val="0"/>
        <w:numPr>
          <w:ilvl w:val="1"/>
          <w:numId w:val="57"/>
        </w:numPr>
        <w:tabs>
          <w:tab w:val="left" w:pos="724"/>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Neither DESFA nor the Company may assign this Agreement in whole or part to a third party without the prior written consent of the other Party.</w:t>
      </w:r>
    </w:p>
    <w:p w14:paraId="43936B11" w14:textId="77777777" w:rsidR="00192F18" w:rsidRPr="00192F18" w:rsidRDefault="00192F18">
      <w:pPr>
        <w:widowControl w:val="0"/>
        <w:numPr>
          <w:ilvl w:val="1"/>
          <w:numId w:val="57"/>
        </w:numPr>
        <w:tabs>
          <w:tab w:val="left" w:pos="724"/>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Following a written consent by DESFA, the Company may assign to an GTA Assignee the rights and obligations of the Company in connection with this Agreement, whether in whole or in part, provided that such GTA Assignee fulfills the requirements of the Network Code, the Project </w:t>
      </w:r>
      <w:proofErr w:type="gramStart"/>
      <w:r w:rsidRPr="00192F18">
        <w:rPr>
          <w:rFonts w:ascii="Calibri" w:eastAsia="Calibri" w:hAnsi="Calibri" w:cs="Calibri"/>
          <w:color w:val="000000"/>
          <w:sz w:val="24"/>
          <w:szCs w:val="24"/>
          <w:lang w:bidi="en-US"/>
        </w:rPr>
        <w:t>Proposal</w:t>
      </w:r>
      <w:proofErr w:type="gramEnd"/>
      <w:r w:rsidRPr="00192F18">
        <w:rPr>
          <w:rFonts w:ascii="Calibri" w:eastAsia="Calibri" w:hAnsi="Calibri" w:cs="Calibri"/>
          <w:color w:val="000000"/>
          <w:sz w:val="24"/>
          <w:szCs w:val="24"/>
          <w:lang w:bidi="en-US"/>
        </w:rPr>
        <w:t xml:space="preserve"> and this Agreement at the time of the assignment.</w:t>
      </w:r>
    </w:p>
    <w:p w14:paraId="097F458B" w14:textId="77777777" w:rsidR="00192F18" w:rsidRPr="00192F18" w:rsidRDefault="00192F18">
      <w:pPr>
        <w:widowControl w:val="0"/>
        <w:numPr>
          <w:ilvl w:val="1"/>
          <w:numId w:val="57"/>
        </w:numPr>
        <w:tabs>
          <w:tab w:val="left" w:pos="724"/>
        </w:tabs>
        <w:spacing w:after="14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For the assignment to take place, the GTA Assignee shall provide a Bank Guarantee the amount of which shall be equal to the maximum annual capacity charge of all Gas Years of the Allocated Capacity assigned and for the duration provided for in Article 3.2.(a). Until the required Bank Guarantee have been presented to DESFA by the GTA Assignee the assignment shall have no legal effect.</w:t>
      </w:r>
    </w:p>
    <w:p w14:paraId="729B9B38" w14:textId="77777777" w:rsidR="00192F18" w:rsidRPr="00192F18" w:rsidRDefault="00192F18">
      <w:pPr>
        <w:widowControl w:val="0"/>
        <w:numPr>
          <w:ilvl w:val="1"/>
          <w:numId w:val="57"/>
        </w:numPr>
        <w:tabs>
          <w:tab w:val="left" w:pos="724"/>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Failure to provide consent to a request for assignment shall entail rejection of the assignment and does not give rise to a right for either Party to terminate this Agreement or claim for any loss, damage, </w:t>
      </w:r>
      <w:proofErr w:type="gramStart"/>
      <w:r w:rsidRPr="00192F18">
        <w:rPr>
          <w:rFonts w:ascii="Calibri" w:eastAsia="Calibri" w:hAnsi="Calibri" w:cs="Calibri"/>
          <w:color w:val="000000"/>
          <w:sz w:val="24"/>
          <w:szCs w:val="24"/>
          <w:lang w:bidi="en-US"/>
        </w:rPr>
        <w:t>cost</w:t>
      </w:r>
      <w:proofErr w:type="gramEnd"/>
      <w:r w:rsidRPr="00192F18">
        <w:rPr>
          <w:rFonts w:ascii="Calibri" w:eastAsia="Calibri" w:hAnsi="Calibri" w:cs="Calibri"/>
          <w:color w:val="000000"/>
          <w:sz w:val="24"/>
          <w:szCs w:val="24"/>
          <w:lang w:bidi="en-US"/>
        </w:rPr>
        <w:t xml:space="preserve"> or expense whatsoever.</w:t>
      </w:r>
    </w:p>
    <w:p w14:paraId="569E963F" w14:textId="77777777" w:rsidR="00192F18" w:rsidRPr="00192F18" w:rsidRDefault="00192F18">
      <w:pPr>
        <w:widowControl w:val="0"/>
        <w:numPr>
          <w:ilvl w:val="1"/>
          <w:numId w:val="57"/>
        </w:numPr>
        <w:tabs>
          <w:tab w:val="left" w:pos="724"/>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This Agreement shall inure to the benefit of and be binding upon the respective successors and permitted assigned of the Parties.</w:t>
      </w:r>
    </w:p>
    <w:p w14:paraId="1CF6E61A" w14:textId="77777777" w:rsidR="00192F18" w:rsidRPr="00192F18" w:rsidRDefault="00192F18">
      <w:pPr>
        <w:keepNext/>
        <w:keepLines/>
        <w:widowControl w:val="0"/>
        <w:numPr>
          <w:ilvl w:val="0"/>
          <w:numId w:val="52"/>
        </w:numPr>
        <w:tabs>
          <w:tab w:val="left" w:pos="1006"/>
        </w:tabs>
        <w:spacing w:after="140" w:line="240" w:lineRule="auto"/>
        <w:jc w:val="center"/>
        <w:outlineLvl w:val="3"/>
        <w:rPr>
          <w:rFonts w:ascii="Calibri" w:eastAsia="Calibri" w:hAnsi="Calibri" w:cs="Calibri"/>
          <w:b/>
          <w:bCs/>
          <w:color w:val="000000"/>
          <w:sz w:val="24"/>
          <w:szCs w:val="24"/>
          <w:lang w:bidi="en-US"/>
        </w:rPr>
      </w:pPr>
      <w:bookmarkStart w:id="88" w:name="bookmark44"/>
      <w:r w:rsidRPr="00192F18">
        <w:rPr>
          <w:rFonts w:ascii="Calibri" w:eastAsia="Calibri" w:hAnsi="Calibri" w:cs="Calibri"/>
          <w:b/>
          <w:bCs/>
          <w:color w:val="000000"/>
          <w:sz w:val="24"/>
          <w:szCs w:val="24"/>
          <w:lang w:bidi="en-US"/>
        </w:rPr>
        <w:t>Force Majeure</w:t>
      </w:r>
      <w:bookmarkEnd w:id="88"/>
    </w:p>
    <w:p w14:paraId="46E6268C" w14:textId="77777777" w:rsidR="00192F18" w:rsidRPr="00192F18" w:rsidRDefault="00192F18">
      <w:pPr>
        <w:widowControl w:val="0"/>
        <w:numPr>
          <w:ilvl w:val="1"/>
          <w:numId w:val="58"/>
        </w:numPr>
        <w:tabs>
          <w:tab w:val="left" w:pos="732"/>
        </w:tabs>
        <w:spacing w:after="14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An event of Force Majeure means any event or circumstance (or any combination of events and/or circumstances) outside the reasonable control, directly or indirectly, of the Party affected, but only if and to the extent that:</w:t>
      </w:r>
    </w:p>
    <w:p w14:paraId="06619E0F" w14:textId="77777777" w:rsidR="00192F18" w:rsidRPr="00192F18" w:rsidRDefault="00192F18">
      <w:pPr>
        <w:widowControl w:val="0"/>
        <w:numPr>
          <w:ilvl w:val="0"/>
          <w:numId w:val="59"/>
        </w:numPr>
        <w:tabs>
          <w:tab w:val="left" w:pos="732"/>
        </w:tabs>
        <w:spacing w:after="140" w:line="252"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such event(s) and/or circumstance(s) could not be prevented, avoided or removed by such </w:t>
      </w:r>
      <w:proofErr w:type="gramStart"/>
      <w:r w:rsidRPr="00192F18">
        <w:rPr>
          <w:rFonts w:ascii="Calibri" w:eastAsia="Calibri" w:hAnsi="Calibri" w:cs="Calibri"/>
          <w:color w:val="000000"/>
          <w:sz w:val="24"/>
          <w:szCs w:val="24"/>
          <w:lang w:bidi="en-US"/>
        </w:rPr>
        <w:t>Party;</w:t>
      </w:r>
      <w:proofErr w:type="gramEnd"/>
    </w:p>
    <w:p w14:paraId="69F946B7" w14:textId="77777777" w:rsidR="00192F18" w:rsidRPr="00192F18" w:rsidRDefault="00192F18">
      <w:pPr>
        <w:widowControl w:val="0"/>
        <w:numPr>
          <w:ilvl w:val="0"/>
          <w:numId w:val="59"/>
        </w:numPr>
        <w:tabs>
          <w:tab w:val="left" w:pos="732"/>
        </w:tabs>
        <w:spacing w:after="140" w:line="252"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such event(s) and/or circumstance(s) causes or results in a failure by such Party to perform its obligations under this Agreement; and</w:t>
      </w:r>
    </w:p>
    <w:p w14:paraId="1B1ACD33" w14:textId="77777777" w:rsidR="00192F18" w:rsidRPr="00192F18" w:rsidRDefault="00192F18">
      <w:pPr>
        <w:widowControl w:val="0"/>
        <w:numPr>
          <w:ilvl w:val="0"/>
          <w:numId w:val="59"/>
        </w:numPr>
        <w:tabs>
          <w:tab w:val="left" w:pos="732"/>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such event(s) and/or circumstance(s) are not substantially attributable to the other </w:t>
      </w:r>
      <w:r w:rsidRPr="00192F18">
        <w:rPr>
          <w:rFonts w:ascii="Calibri" w:eastAsia="Calibri" w:hAnsi="Calibri" w:cs="Calibri"/>
          <w:color w:val="000000"/>
          <w:sz w:val="24"/>
          <w:szCs w:val="24"/>
          <w:lang w:bidi="en-US"/>
        </w:rPr>
        <w:lastRenderedPageBreak/>
        <w:t>Party.</w:t>
      </w:r>
    </w:p>
    <w:p w14:paraId="6E3ED486" w14:textId="77777777" w:rsidR="00192F18" w:rsidRPr="00192F18" w:rsidRDefault="00192F18">
      <w:pPr>
        <w:widowControl w:val="0"/>
        <w:numPr>
          <w:ilvl w:val="1"/>
          <w:numId w:val="58"/>
        </w:numPr>
        <w:tabs>
          <w:tab w:val="left" w:pos="732"/>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Force Majeure may include, but is not limited to, event(s) or circumstance(s) of the kind listed below, so long as conditions (a) to (c) above are satisfied:</w:t>
      </w:r>
    </w:p>
    <w:p w14:paraId="7B6BFEF4" w14:textId="77777777" w:rsidR="00192F18" w:rsidRPr="00192F18" w:rsidRDefault="00192F18">
      <w:pPr>
        <w:widowControl w:val="0"/>
        <w:numPr>
          <w:ilvl w:val="0"/>
          <w:numId w:val="60"/>
        </w:numPr>
        <w:tabs>
          <w:tab w:val="left" w:pos="732"/>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war, hostilities (whether war be declared or not), invasion, act for foreign </w:t>
      </w:r>
      <w:proofErr w:type="gramStart"/>
      <w:r w:rsidRPr="00192F18">
        <w:rPr>
          <w:rFonts w:ascii="Calibri" w:eastAsia="Calibri" w:hAnsi="Calibri" w:cs="Calibri"/>
          <w:color w:val="000000"/>
          <w:sz w:val="24"/>
          <w:szCs w:val="24"/>
          <w:lang w:bidi="en-US"/>
        </w:rPr>
        <w:t>enemies;</w:t>
      </w:r>
      <w:proofErr w:type="gramEnd"/>
    </w:p>
    <w:p w14:paraId="7920D498" w14:textId="77777777" w:rsidR="00192F18" w:rsidRPr="00192F18" w:rsidRDefault="00192F18">
      <w:pPr>
        <w:widowControl w:val="0"/>
        <w:numPr>
          <w:ilvl w:val="0"/>
          <w:numId w:val="60"/>
        </w:numPr>
        <w:tabs>
          <w:tab w:val="left" w:pos="732"/>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rebellion, acts of terrorism, revolution, insurrection, military or usurped power, or civil </w:t>
      </w:r>
      <w:proofErr w:type="gramStart"/>
      <w:r w:rsidRPr="00192F18">
        <w:rPr>
          <w:rFonts w:ascii="Calibri" w:eastAsia="Calibri" w:hAnsi="Calibri" w:cs="Calibri"/>
          <w:color w:val="000000"/>
          <w:sz w:val="24"/>
          <w:szCs w:val="24"/>
          <w:lang w:bidi="en-US"/>
        </w:rPr>
        <w:t>war;</w:t>
      </w:r>
      <w:proofErr w:type="gramEnd"/>
    </w:p>
    <w:p w14:paraId="7B88B218" w14:textId="77777777" w:rsidR="00192F18" w:rsidRPr="00192F18" w:rsidRDefault="00192F18">
      <w:pPr>
        <w:widowControl w:val="0"/>
        <w:numPr>
          <w:ilvl w:val="0"/>
          <w:numId w:val="60"/>
        </w:numPr>
        <w:tabs>
          <w:tab w:val="left" w:pos="732"/>
        </w:tabs>
        <w:spacing w:after="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natural catastrophes such as an earthquake, a hurricane, a typhoon or volcanic</w:t>
      </w:r>
    </w:p>
    <w:p w14:paraId="46252BB1" w14:textId="77777777" w:rsidR="00192F18" w:rsidRPr="00192F18" w:rsidRDefault="00192F18" w:rsidP="00192F18">
      <w:pPr>
        <w:widowControl w:val="0"/>
        <w:spacing w:after="140" w:line="257" w:lineRule="auto"/>
        <w:jc w:val="both"/>
        <w:rPr>
          <w:rFonts w:ascii="Calibri" w:eastAsia="Calibri" w:hAnsi="Calibri" w:cs="Calibri"/>
          <w:color w:val="000000"/>
          <w:sz w:val="24"/>
          <w:szCs w:val="24"/>
          <w:lang w:bidi="en-US"/>
        </w:rPr>
      </w:pPr>
      <w:proofErr w:type="gramStart"/>
      <w:r w:rsidRPr="00192F18">
        <w:rPr>
          <w:rFonts w:ascii="Calibri" w:eastAsia="Calibri" w:hAnsi="Calibri" w:cs="Calibri"/>
          <w:color w:val="000000"/>
          <w:sz w:val="24"/>
          <w:szCs w:val="24"/>
          <w:lang w:bidi="en-US"/>
        </w:rPr>
        <w:t>activity;</w:t>
      </w:r>
      <w:proofErr w:type="gramEnd"/>
    </w:p>
    <w:p w14:paraId="1B0A1193" w14:textId="77777777" w:rsidR="00192F18" w:rsidRPr="00192F18" w:rsidRDefault="00192F18">
      <w:pPr>
        <w:widowControl w:val="0"/>
        <w:numPr>
          <w:ilvl w:val="0"/>
          <w:numId w:val="60"/>
        </w:numPr>
        <w:tabs>
          <w:tab w:val="left" w:pos="732"/>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governmental measures and other rules issued by Competent Authority in relation to pandemics or epidemics.</w:t>
      </w:r>
    </w:p>
    <w:p w14:paraId="6C50F9EF" w14:textId="77777777" w:rsidR="00192F18" w:rsidRPr="00192F18" w:rsidRDefault="00192F18">
      <w:pPr>
        <w:widowControl w:val="0"/>
        <w:numPr>
          <w:ilvl w:val="1"/>
          <w:numId w:val="58"/>
        </w:numPr>
        <w:tabs>
          <w:tab w:val="left" w:pos="732"/>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The Company further acknowledge that event(s) or circumstance(s) of Force Majeure for DESFA may include, so long as conditions (a) to (c) of Article 7.1 are satisfied:</w:t>
      </w:r>
    </w:p>
    <w:p w14:paraId="7991353D" w14:textId="77777777" w:rsidR="00192F18" w:rsidRPr="00192F18" w:rsidRDefault="00192F18">
      <w:pPr>
        <w:widowControl w:val="0"/>
        <w:numPr>
          <w:ilvl w:val="0"/>
          <w:numId w:val="61"/>
        </w:numPr>
        <w:tabs>
          <w:tab w:val="left" w:pos="732"/>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breakage, fire, freezing, explosion, mechanical breakdown, or other damage or malfunction of machinery or equipment necessary for the construction and operation of the DESFA Part of Project; or</w:t>
      </w:r>
    </w:p>
    <w:p w14:paraId="52B46942" w14:textId="77777777" w:rsidR="00192F18" w:rsidRPr="00192F18" w:rsidRDefault="00192F18">
      <w:pPr>
        <w:widowControl w:val="0"/>
        <w:numPr>
          <w:ilvl w:val="0"/>
          <w:numId w:val="61"/>
        </w:numPr>
        <w:tabs>
          <w:tab w:val="left" w:pos="732"/>
        </w:tabs>
        <w:spacing w:after="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archaeological or historical or cultural heritage investigations or discoveries on</w:t>
      </w:r>
    </w:p>
    <w:p w14:paraId="6E36EBCE" w14:textId="77777777" w:rsidR="00192F18" w:rsidRPr="00192F18" w:rsidRDefault="00192F18" w:rsidP="00192F18">
      <w:pPr>
        <w:widowControl w:val="0"/>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the route of the DESFA Part of Project; or</w:t>
      </w:r>
    </w:p>
    <w:p w14:paraId="4C012E14" w14:textId="77777777" w:rsidR="00192F18" w:rsidRPr="00192F18" w:rsidRDefault="00192F18">
      <w:pPr>
        <w:widowControl w:val="0"/>
        <w:numPr>
          <w:ilvl w:val="0"/>
          <w:numId w:val="61"/>
        </w:numPr>
        <w:tabs>
          <w:tab w:val="left" w:pos="732"/>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court proceedings that delay the award of a contract for the construction of DESFA Part of the Project; or</w:t>
      </w:r>
    </w:p>
    <w:p w14:paraId="64519300" w14:textId="77777777" w:rsidR="00192F18" w:rsidRPr="00192F18" w:rsidRDefault="00192F18">
      <w:pPr>
        <w:widowControl w:val="0"/>
        <w:numPr>
          <w:ilvl w:val="0"/>
          <w:numId w:val="61"/>
        </w:numPr>
        <w:tabs>
          <w:tab w:val="left" w:pos="732"/>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the delay due to bankruptcy or other major default of a contractor selected by DESFA for the construction of the DESFA Part of the Project.</w:t>
      </w:r>
    </w:p>
    <w:p w14:paraId="288149C2" w14:textId="77777777" w:rsidR="00192F18" w:rsidRPr="00192F18" w:rsidRDefault="00192F18">
      <w:pPr>
        <w:widowControl w:val="0"/>
        <w:numPr>
          <w:ilvl w:val="1"/>
          <w:numId w:val="58"/>
        </w:numPr>
        <w:tabs>
          <w:tab w:val="left" w:pos="732"/>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Notwithstanding the provisions above, any or </w:t>
      </w:r>
      <w:proofErr w:type="gramStart"/>
      <w:r w:rsidRPr="00192F18">
        <w:rPr>
          <w:rFonts w:ascii="Calibri" w:eastAsia="Calibri" w:hAnsi="Calibri" w:cs="Calibri"/>
          <w:color w:val="000000"/>
          <w:sz w:val="24"/>
          <w:szCs w:val="24"/>
          <w:lang w:bidi="en-US"/>
        </w:rPr>
        <w:t>all of</w:t>
      </w:r>
      <w:proofErr w:type="gramEnd"/>
      <w:r w:rsidRPr="00192F18">
        <w:rPr>
          <w:rFonts w:ascii="Calibri" w:eastAsia="Calibri" w:hAnsi="Calibri" w:cs="Calibri"/>
          <w:color w:val="000000"/>
          <w:sz w:val="24"/>
          <w:szCs w:val="24"/>
          <w:lang w:bidi="en-US"/>
        </w:rPr>
        <w:t xml:space="preserve"> the following events and circumstances shall not constitute an event of Force Majeure:</w:t>
      </w:r>
    </w:p>
    <w:p w14:paraId="02F75A64" w14:textId="77777777" w:rsidR="00192F18" w:rsidRPr="00192F18" w:rsidRDefault="00192F18">
      <w:pPr>
        <w:widowControl w:val="0"/>
        <w:numPr>
          <w:ilvl w:val="0"/>
          <w:numId w:val="62"/>
        </w:numPr>
        <w:tabs>
          <w:tab w:val="left" w:pos="732"/>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changes in market conditions, including changes that directly or indirectly affect the demand for or price of Natural Gas, such as loss of customers or loss of market share; or</w:t>
      </w:r>
    </w:p>
    <w:p w14:paraId="665369AB" w14:textId="77777777" w:rsidR="00192F18" w:rsidRPr="00192F18" w:rsidRDefault="00192F18">
      <w:pPr>
        <w:widowControl w:val="0"/>
        <w:numPr>
          <w:ilvl w:val="0"/>
          <w:numId w:val="62"/>
        </w:numPr>
        <w:tabs>
          <w:tab w:val="left" w:pos="709"/>
        </w:tabs>
        <w:spacing w:after="14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changes in shareholding or business strategy; or</w:t>
      </w:r>
    </w:p>
    <w:p w14:paraId="2909BFEF" w14:textId="77777777" w:rsidR="00192F18" w:rsidRPr="00192F18" w:rsidRDefault="00192F18">
      <w:pPr>
        <w:widowControl w:val="0"/>
        <w:numPr>
          <w:ilvl w:val="0"/>
          <w:numId w:val="62"/>
        </w:numPr>
        <w:tabs>
          <w:tab w:val="left" w:pos="709"/>
        </w:tabs>
        <w:spacing w:after="14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failure or inability to perform due to change to applicable Capacity charges; or</w:t>
      </w:r>
    </w:p>
    <w:p w14:paraId="7614F323" w14:textId="77777777" w:rsidR="00192F18" w:rsidRPr="00192F18" w:rsidRDefault="00192F18">
      <w:pPr>
        <w:widowControl w:val="0"/>
        <w:numPr>
          <w:ilvl w:val="0"/>
          <w:numId w:val="62"/>
        </w:numPr>
        <w:tabs>
          <w:tab w:val="left" w:pos="709"/>
        </w:tabs>
        <w:spacing w:after="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the unavailability or lack of funds or failure to indemnify the other party or to</w:t>
      </w:r>
    </w:p>
    <w:p w14:paraId="1CC07237" w14:textId="77777777" w:rsidR="00192F18" w:rsidRPr="00192F18" w:rsidRDefault="00192F18" w:rsidP="00192F18">
      <w:pPr>
        <w:widowControl w:val="0"/>
        <w:spacing w:after="14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pay money when due.</w:t>
      </w:r>
    </w:p>
    <w:p w14:paraId="1DEA5C0F" w14:textId="77777777" w:rsidR="00192F18" w:rsidRPr="00192F18" w:rsidRDefault="00192F18">
      <w:pPr>
        <w:widowControl w:val="0"/>
        <w:numPr>
          <w:ilvl w:val="1"/>
          <w:numId w:val="58"/>
        </w:numPr>
        <w:tabs>
          <w:tab w:val="left" w:pos="709"/>
        </w:tabs>
        <w:spacing w:after="14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If a Party is or will be prevented from performing any of its obligations under this Agreement by Force Majeure, then it shall give Notice to the other Party of the event(s) of circumstance(s) constituting the Force Majeure and shall specify the extent of the obligations, the performance of which is or will be prevented, impeded and/or delayed. The Notice shall be given as soon as reasonably practicable (to the extent that such Information is available to the affected Party) of the relevant event(s) or circumstance(s) constituting Force Majeure, </w:t>
      </w:r>
      <w:r w:rsidRPr="00192F18">
        <w:rPr>
          <w:rFonts w:ascii="Calibri" w:eastAsia="Calibri" w:hAnsi="Calibri" w:cs="Calibri"/>
          <w:color w:val="000000"/>
          <w:sz w:val="24"/>
          <w:szCs w:val="24"/>
          <w:lang w:bidi="en-US"/>
        </w:rPr>
        <w:lastRenderedPageBreak/>
        <w:t>otherwise the affected Party is prevented from claiming Force Majeure in respect to the respective event(s) or circumstance(s), unless the other Party is aware of the Force Majeure and the extent of its effects on the affected Party's performance. The Party shall, having given Notice, be excused from performance of such obligations for so long as such Force Majeure prevents it from performing them.</w:t>
      </w:r>
    </w:p>
    <w:p w14:paraId="42DA6824" w14:textId="77777777" w:rsidR="00192F18" w:rsidRPr="00192F18" w:rsidRDefault="00192F18">
      <w:pPr>
        <w:widowControl w:val="0"/>
        <w:numPr>
          <w:ilvl w:val="1"/>
          <w:numId w:val="58"/>
        </w:numPr>
        <w:tabs>
          <w:tab w:val="left" w:pos="709"/>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Notwithstanding the above, the affected Party shall give Notice as soon as reasonably practicable to the other Party (to the extent that such Information is available to the affected Party) of:</w:t>
      </w:r>
    </w:p>
    <w:p w14:paraId="4FDA0BDD" w14:textId="77777777" w:rsidR="00192F18" w:rsidRPr="00192F18" w:rsidRDefault="00192F18">
      <w:pPr>
        <w:widowControl w:val="0"/>
        <w:numPr>
          <w:ilvl w:val="0"/>
          <w:numId w:val="63"/>
        </w:numPr>
        <w:tabs>
          <w:tab w:val="left" w:pos="709"/>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the steps being taken by the affected Party to remove or mitigate the effect of the Force Majeure and to carry out its obligations under this </w:t>
      </w:r>
      <w:proofErr w:type="gramStart"/>
      <w:r w:rsidRPr="00192F18">
        <w:rPr>
          <w:rFonts w:ascii="Calibri" w:eastAsia="Calibri" w:hAnsi="Calibri" w:cs="Calibri"/>
          <w:color w:val="000000"/>
          <w:sz w:val="24"/>
          <w:szCs w:val="24"/>
          <w:lang w:bidi="en-US"/>
        </w:rPr>
        <w:t>Agreement;</w:t>
      </w:r>
      <w:proofErr w:type="gramEnd"/>
    </w:p>
    <w:p w14:paraId="7B05EE81" w14:textId="77777777" w:rsidR="00192F18" w:rsidRPr="00192F18" w:rsidRDefault="00192F18">
      <w:pPr>
        <w:widowControl w:val="0"/>
        <w:numPr>
          <w:ilvl w:val="0"/>
          <w:numId w:val="63"/>
        </w:numPr>
        <w:tabs>
          <w:tab w:val="left" w:pos="709"/>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upon it becoming aware of any material developments or additional material Information relating to the Force Majeure and its </w:t>
      </w:r>
      <w:proofErr w:type="gramStart"/>
      <w:r w:rsidRPr="00192F18">
        <w:rPr>
          <w:rFonts w:ascii="Calibri" w:eastAsia="Calibri" w:hAnsi="Calibri" w:cs="Calibri"/>
          <w:color w:val="000000"/>
          <w:sz w:val="24"/>
          <w:szCs w:val="24"/>
          <w:lang w:bidi="en-US"/>
        </w:rPr>
        <w:t>effects;</w:t>
      </w:r>
      <w:proofErr w:type="gramEnd"/>
    </w:p>
    <w:p w14:paraId="2D9BC72C" w14:textId="77777777" w:rsidR="00192F18" w:rsidRPr="00192F18" w:rsidRDefault="00192F18">
      <w:pPr>
        <w:widowControl w:val="0"/>
        <w:numPr>
          <w:ilvl w:val="0"/>
          <w:numId w:val="63"/>
        </w:numPr>
        <w:tabs>
          <w:tab w:val="left" w:pos="709"/>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the anticipated date of resumption of performance of its obligations under this </w:t>
      </w:r>
      <w:proofErr w:type="gramStart"/>
      <w:r w:rsidRPr="00192F18">
        <w:rPr>
          <w:rFonts w:ascii="Calibri" w:eastAsia="Calibri" w:hAnsi="Calibri" w:cs="Calibri"/>
          <w:color w:val="000000"/>
          <w:sz w:val="24"/>
          <w:szCs w:val="24"/>
          <w:lang w:bidi="en-US"/>
        </w:rPr>
        <w:t>Agreement;</w:t>
      </w:r>
      <w:proofErr w:type="gramEnd"/>
    </w:p>
    <w:p w14:paraId="4C34A3A6" w14:textId="77777777" w:rsidR="00192F18" w:rsidRPr="00192F18" w:rsidRDefault="00192F18" w:rsidP="00192F18">
      <w:pPr>
        <w:widowControl w:val="0"/>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and, to the extent that such Information is not available at the time a Notice is given, the affected Party shall provide such Information to the other Party as soon as it becomes available to it.</w:t>
      </w:r>
    </w:p>
    <w:p w14:paraId="1A76E7C8" w14:textId="77777777" w:rsidR="00192F18" w:rsidRPr="00192F18" w:rsidRDefault="00192F18">
      <w:pPr>
        <w:widowControl w:val="0"/>
        <w:numPr>
          <w:ilvl w:val="1"/>
          <w:numId w:val="58"/>
        </w:numPr>
        <w:tabs>
          <w:tab w:val="left" w:pos="709"/>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Neither Party shall be held responsible for any non-performance and/or delay in the performance of the Agreement if and to the extent it is caused by Force Majeure.</w:t>
      </w:r>
    </w:p>
    <w:p w14:paraId="5EA69A47" w14:textId="77777777" w:rsidR="00192F18" w:rsidRPr="00192F18" w:rsidRDefault="00192F18">
      <w:pPr>
        <w:widowControl w:val="0"/>
        <w:numPr>
          <w:ilvl w:val="1"/>
          <w:numId w:val="58"/>
        </w:numPr>
        <w:tabs>
          <w:tab w:val="left" w:pos="709"/>
        </w:tabs>
        <w:spacing w:after="62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DESFA is entitled to assign the execution of DESFA’s Part of the Project, in whole or in part, to external contractors, providers or vendors of its choice and at its sole discretion. An event of Force Majeure in the person of the contractor, </w:t>
      </w:r>
      <w:proofErr w:type="gramStart"/>
      <w:r w:rsidRPr="00192F18">
        <w:rPr>
          <w:rFonts w:ascii="Calibri" w:eastAsia="Calibri" w:hAnsi="Calibri" w:cs="Calibri"/>
          <w:color w:val="000000"/>
          <w:sz w:val="24"/>
          <w:szCs w:val="24"/>
          <w:lang w:bidi="en-US"/>
        </w:rPr>
        <w:t>provider</w:t>
      </w:r>
      <w:proofErr w:type="gramEnd"/>
      <w:r w:rsidRPr="00192F18">
        <w:rPr>
          <w:rFonts w:ascii="Calibri" w:eastAsia="Calibri" w:hAnsi="Calibri" w:cs="Calibri"/>
          <w:color w:val="000000"/>
          <w:sz w:val="24"/>
          <w:szCs w:val="24"/>
          <w:lang w:bidi="en-US"/>
        </w:rPr>
        <w:t xml:space="preserve"> or vendor to whom DESFA has assigned the execution, in whole or in part, of said project shall constitute an event of Force Majeure in the person of DESFA against the Company under this Agreement.</w:t>
      </w:r>
    </w:p>
    <w:p w14:paraId="38797F98" w14:textId="77777777" w:rsidR="00192F18" w:rsidRPr="00192F18" w:rsidRDefault="00192F18">
      <w:pPr>
        <w:keepNext/>
        <w:keepLines/>
        <w:widowControl w:val="0"/>
        <w:numPr>
          <w:ilvl w:val="0"/>
          <w:numId w:val="52"/>
        </w:numPr>
        <w:tabs>
          <w:tab w:val="left" w:pos="956"/>
        </w:tabs>
        <w:spacing w:after="140" w:line="240" w:lineRule="auto"/>
        <w:jc w:val="center"/>
        <w:outlineLvl w:val="3"/>
        <w:rPr>
          <w:rFonts w:ascii="Calibri" w:eastAsia="Calibri" w:hAnsi="Calibri" w:cs="Calibri"/>
          <w:b/>
          <w:bCs/>
          <w:color w:val="000000"/>
          <w:sz w:val="24"/>
          <w:szCs w:val="24"/>
          <w:lang w:bidi="en-US"/>
        </w:rPr>
      </w:pPr>
      <w:bookmarkStart w:id="89" w:name="bookmark46"/>
      <w:r w:rsidRPr="00192F18">
        <w:rPr>
          <w:rFonts w:ascii="Calibri" w:eastAsia="Calibri" w:hAnsi="Calibri" w:cs="Calibri"/>
          <w:b/>
          <w:bCs/>
          <w:color w:val="000000"/>
          <w:sz w:val="24"/>
          <w:szCs w:val="24"/>
          <w:lang w:bidi="en-US"/>
        </w:rPr>
        <w:t>Confidentiality</w:t>
      </w:r>
      <w:bookmarkEnd w:id="89"/>
    </w:p>
    <w:p w14:paraId="2820AFFB" w14:textId="77777777" w:rsidR="00192F18" w:rsidRPr="00192F18" w:rsidRDefault="00192F18">
      <w:pPr>
        <w:widowControl w:val="0"/>
        <w:numPr>
          <w:ilvl w:val="1"/>
          <w:numId w:val="64"/>
        </w:numPr>
        <w:tabs>
          <w:tab w:val="left" w:pos="709"/>
        </w:tabs>
        <w:spacing w:after="140" w:line="240"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The Parties already acknowledge and are bound by the confidential nature:</w:t>
      </w:r>
    </w:p>
    <w:p w14:paraId="090BE7C9" w14:textId="77777777" w:rsidR="00192F18" w:rsidRPr="00192F18" w:rsidRDefault="00192F18">
      <w:pPr>
        <w:widowControl w:val="0"/>
        <w:numPr>
          <w:ilvl w:val="0"/>
          <w:numId w:val="65"/>
        </w:numPr>
        <w:tabs>
          <w:tab w:val="left" w:pos="718"/>
        </w:tabs>
        <w:spacing w:after="14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of all the information exchanged and/or the documents and data communicated or to be communicated to them during the term of the Agreement, and which are related to the Agreement and its performance; and</w:t>
      </w:r>
    </w:p>
    <w:p w14:paraId="28C7B4F5" w14:textId="77777777" w:rsidR="00192F18" w:rsidRPr="00192F18" w:rsidRDefault="00192F18">
      <w:pPr>
        <w:widowControl w:val="0"/>
        <w:numPr>
          <w:ilvl w:val="0"/>
          <w:numId w:val="65"/>
        </w:numPr>
        <w:tabs>
          <w:tab w:val="left" w:pos="718"/>
        </w:tabs>
        <w:spacing w:after="14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they undertake the duty to use such information, </w:t>
      </w:r>
      <w:proofErr w:type="gramStart"/>
      <w:r w:rsidRPr="00192F18">
        <w:rPr>
          <w:rFonts w:ascii="Calibri" w:eastAsia="Calibri" w:hAnsi="Calibri" w:cs="Calibri"/>
          <w:color w:val="000000"/>
          <w:sz w:val="24"/>
          <w:szCs w:val="24"/>
          <w:lang w:bidi="en-US"/>
        </w:rPr>
        <w:t>documents</w:t>
      </w:r>
      <w:proofErr w:type="gramEnd"/>
      <w:r w:rsidRPr="00192F18">
        <w:rPr>
          <w:rFonts w:ascii="Calibri" w:eastAsia="Calibri" w:hAnsi="Calibri" w:cs="Calibri"/>
          <w:color w:val="000000"/>
          <w:sz w:val="24"/>
          <w:szCs w:val="24"/>
          <w:lang w:bidi="en-US"/>
        </w:rPr>
        <w:t xml:space="preserve"> and data only for the purposes of the Agreement and to refrain from disclosing them in part or in whole to third parties.</w:t>
      </w:r>
    </w:p>
    <w:p w14:paraId="1075D18E" w14:textId="77777777" w:rsidR="00192F18" w:rsidRPr="00192F18" w:rsidRDefault="00192F18">
      <w:pPr>
        <w:widowControl w:val="0"/>
        <w:numPr>
          <w:ilvl w:val="1"/>
          <w:numId w:val="64"/>
        </w:numPr>
        <w:tabs>
          <w:tab w:val="left" w:pos="718"/>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The confidentiality undertakings under this Agreement do not apply to the extent that:</w:t>
      </w:r>
    </w:p>
    <w:p w14:paraId="12F4F10E" w14:textId="77777777" w:rsidR="00192F18" w:rsidRPr="00192F18" w:rsidRDefault="00192F18">
      <w:pPr>
        <w:widowControl w:val="0"/>
        <w:numPr>
          <w:ilvl w:val="0"/>
          <w:numId w:val="66"/>
        </w:numPr>
        <w:tabs>
          <w:tab w:val="left" w:pos="718"/>
        </w:tabs>
        <w:spacing w:after="14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Confidential Information is already in possession of the public or becomes available to the public other than through the act or omission of the receiving Party in breach hereof; or</w:t>
      </w:r>
    </w:p>
    <w:p w14:paraId="59D06FF7" w14:textId="77777777" w:rsidR="00192F18" w:rsidRPr="00192F18" w:rsidRDefault="00192F18">
      <w:pPr>
        <w:widowControl w:val="0"/>
        <w:numPr>
          <w:ilvl w:val="0"/>
          <w:numId w:val="66"/>
        </w:numPr>
        <w:tabs>
          <w:tab w:val="left" w:pos="718"/>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lastRenderedPageBreak/>
        <w:t>a Party can document that it was already legally and without other confidentiality limitations in possession of the Confidential Information before it was disclosed; or</w:t>
      </w:r>
    </w:p>
    <w:p w14:paraId="2C643451" w14:textId="77777777" w:rsidR="00192F18" w:rsidRPr="00192F18" w:rsidRDefault="00192F18">
      <w:pPr>
        <w:widowControl w:val="0"/>
        <w:numPr>
          <w:ilvl w:val="0"/>
          <w:numId w:val="66"/>
        </w:numPr>
        <w:tabs>
          <w:tab w:val="left" w:pos="718"/>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is required to be disclosed by the Parties to RAE or another Competent Authority or </w:t>
      </w:r>
      <w:proofErr w:type="gramStart"/>
      <w:r w:rsidRPr="00192F18">
        <w:rPr>
          <w:rFonts w:ascii="Calibri" w:eastAsia="Calibri" w:hAnsi="Calibri" w:cs="Calibri"/>
          <w:color w:val="000000"/>
          <w:sz w:val="24"/>
          <w:szCs w:val="24"/>
          <w:lang w:bidi="en-US"/>
        </w:rPr>
        <w:t>in order for</w:t>
      </w:r>
      <w:proofErr w:type="gramEnd"/>
      <w:r w:rsidRPr="00192F18">
        <w:rPr>
          <w:rFonts w:ascii="Calibri" w:eastAsia="Calibri" w:hAnsi="Calibri" w:cs="Calibri"/>
          <w:color w:val="000000"/>
          <w:sz w:val="24"/>
          <w:szCs w:val="24"/>
          <w:lang w:bidi="en-US"/>
        </w:rPr>
        <w:t xml:space="preserve"> the Parties to comply with the requirements of the applicable Law or following RAE’s or Competent Authority’s decisions.</w:t>
      </w:r>
    </w:p>
    <w:p w14:paraId="1B37DC3F" w14:textId="77777777" w:rsidR="00192F18" w:rsidRPr="00192F18" w:rsidRDefault="00192F18">
      <w:pPr>
        <w:widowControl w:val="0"/>
        <w:numPr>
          <w:ilvl w:val="1"/>
          <w:numId w:val="67"/>
        </w:numPr>
        <w:tabs>
          <w:tab w:val="left" w:pos="718"/>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Subject to any restriction applicable to it according to applicable Law, a Party may disclose Confidential Information without the other Party's prior written consent to the following persons:</w:t>
      </w:r>
    </w:p>
    <w:p w14:paraId="4909280A" w14:textId="77777777" w:rsidR="00192F18" w:rsidRPr="00192F18" w:rsidRDefault="00192F18">
      <w:pPr>
        <w:widowControl w:val="0"/>
        <w:numPr>
          <w:ilvl w:val="0"/>
          <w:numId w:val="66"/>
        </w:numPr>
        <w:tabs>
          <w:tab w:val="left" w:pos="718"/>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professional advisers retained by such Party, if and to the extent required in order to enable the disclosing Party to perform its obligations under this </w:t>
      </w:r>
      <w:proofErr w:type="gramStart"/>
      <w:r w:rsidRPr="00192F18">
        <w:rPr>
          <w:rFonts w:ascii="Calibri" w:eastAsia="Calibri" w:hAnsi="Calibri" w:cs="Calibri"/>
          <w:color w:val="000000"/>
          <w:sz w:val="24"/>
          <w:szCs w:val="24"/>
          <w:lang w:bidi="en-US"/>
        </w:rPr>
        <w:t>Agreement;</w:t>
      </w:r>
      <w:proofErr w:type="gramEnd"/>
    </w:p>
    <w:p w14:paraId="7F51E896" w14:textId="77777777" w:rsidR="00192F18" w:rsidRPr="00192F18" w:rsidRDefault="00192F18">
      <w:pPr>
        <w:widowControl w:val="0"/>
        <w:numPr>
          <w:ilvl w:val="0"/>
          <w:numId w:val="66"/>
        </w:numPr>
        <w:tabs>
          <w:tab w:val="left" w:pos="718"/>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banks or other financial institutions to finance such Party and/or to provide project finance in relation to the DESFA Part of the Project or the issuance of assurances regarding the DESFA Part of the Project; and</w:t>
      </w:r>
    </w:p>
    <w:p w14:paraId="0454C459" w14:textId="77777777" w:rsidR="00192F18" w:rsidRPr="00192F18" w:rsidRDefault="00192F18">
      <w:pPr>
        <w:widowControl w:val="0"/>
        <w:numPr>
          <w:ilvl w:val="0"/>
          <w:numId w:val="66"/>
        </w:numPr>
        <w:tabs>
          <w:tab w:val="left" w:pos="718"/>
        </w:tabs>
        <w:spacing w:after="46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shareholders of DESFA for the purposes of taking the Final Investment </w:t>
      </w:r>
      <w:proofErr w:type="gramStart"/>
      <w:r w:rsidRPr="00192F18">
        <w:rPr>
          <w:rFonts w:ascii="Calibri" w:eastAsia="Calibri" w:hAnsi="Calibri" w:cs="Calibri"/>
          <w:color w:val="000000"/>
          <w:sz w:val="24"/>
          <w:szCs w:val="24"/>
          <w:lang w:bidi="en-US"/>
        </w:rPr>
        <w:t>Decision;</w:t>
      </w:r>
      <w:proofErr w:type="gramEnd"/>
    </w:p>
    <w:p w14:paraId="42FD3591" w14:textId="77777777" w:rsidR="00192F18" w:rsidRPr="00192F18" w:rsidRDefault="00192F18">
      <w:pPr>
        <w:widowControl w:val="0"/>
        <w:numPr>
          <w:ilvl w:val="1"/>
          <w:numId w:val="64"/>
        </w:numPr>
        <w:tabs>
          <w:tab w:val="left" w:pos="718"/>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Each Party shall take all necessary and appropriate measures and procedures (</w:t>
      </w:r>
      <w:proofErr w:type="gramStart"/>
      <w:r w:rsidRPr="00192F18">
        <w:rPr>
          <w:rFonts w:ascii="Calibri" w:eastAsia="Calibri" w:hAnsi="Calibri" w:cs="Calibri"/>
          <w:color w:val="000000"/>
          <w:sz w:val="24"/>
          <w:szCs w:val="24"/>
          <w:lang w:bidi="en-US"/>
        </w:rPr>
        <w:t>in particular towards</w:t>
      </w:r>
      <w:proofErr w:type="gramEnd"/>
      <w:r w:rsidRPr="00192F18">
        <w:rPr>
          <w:rFonts w:ascii="Calibri" w:eastAsia="Calibri" w:hAnsi="Calibri" w:cs="Calibri"/>
          <w:color w:val="000000"/>
          <w:sz w:val="24"/>
          <w:szCs w:val="24"/>
          <w:lang w:bidi="en-US"/>
        </w:rPr>
        <w:t xml:space="preserve"> its representatives, employees, advisers and authorized agents) to enforce and maintain the protection of Confidential Information and to prevent any disclosure of it.</w:t>
      </w:r>
    </w:p>
    <w:p w14:paraId="06FCCE1A" w14:textId="77777777" w:rsidR="00192F18" w:rsidRPr="00192F18" w:rsidRDefault="00192F18">
      <w:pPr>
        <w:widowControl w:val="0"/>
        <w:numPr>
          <w:ilvl w:val="1"/>
          <w:numId w:val="64"/>
        </w:numPr>
        <w:tabs>
          <w:tab w:val="left" w:pos="718"/>
        </w:tabs>
        <w:spacing w:after="62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The above obligations shall be binding upon the Parties during the term of the Agreement as well as for a period of five (5) years after its termination in any way whatsoever.</w:t>
      </w:r>
    </w:p>
    <w:p w14:paraId="2B7B676E" w14:textId="77777777" w:rsidR="00192F18" w:rsidRPr="00192F18" w:rsidRDefault="00192F18">
      <w:pPr>
        <w:keepNext/>
        <w:keepLines/>
        <w:widowControl w:val="0"/>
        <w:numPr>
          <w:ilvl w:val="0"/>
          <w:numId w:val="52"/>
        </w:numPr>
        <w:tabs>
          <w:tab w:val="left" w:pos="956"/>
        </w:tabs>
        <w:spacing w:after="80" w:line="257" w:lineRule="auto"/>
        <w:jc w:val="center"/>
        <w:outlineLvl w:val="3"/>
        <w:rPr>
          <w:rFonts w:ascii="Calibri" w:eastAsia="Calibri" w:hAnsi="Calibri" w:cs="Calibri"/>
          <w:b/>
          <w:bCs/>
          <w:color w:val="000000"/>
          <w:sz w:val="24"/>
          <w:szCs w:val="24"/>
          <w:lang w:bidi="en-US"/>
        </w:rPr>
      </w:pPr>
      <w:bookmarkStart w:id="90" w:name="bookmark48"/>
      <w:r w:rsidRPr="00192F18">
        <w:rPr>
          <w:rFonts w:ascii="Calibri" w:eastAsia="Calibri" w:hAnsi="Calibri" w:cs="Calibri"/>
          <w:b/>
          <w:bCs/>
          <w:color w:val="000000"/>
          <w:sz w:val="24"/>
          <w:szCs w:val="24"/>
          <w:lang w:bidi="en-US"/>
        </w:rPr>
        <w:t>Anticorruption policy and Code of Ethics</w:t>
      </w:r>
      <w:bookmarkEnd w:id="90"/>
    </w:p>
    <w:p w14:paraId="383BB257" w14:textId="77777777" w:rsidR="00192F18" w:rsidRPr="00192F18" w:rsidRDefault="00192F18">
      <w:pPr>
        <w:widowControl w:val="0"/>
        <w:numPr>
          <w:ilvl w:val="1"/>
          <w:numId w:val="68"/>
        </w:numPr>
        <w:tabs>
          <w:tab w:val="left" w:pos="718"/>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Each Party declares that it is acquainted with and shall fully comply with the Laws on the prohibition of bribery and any other anti-corruption Law applicable to the Parties.</w:t>
      </w:r>
    </w:p>
    <w:p w14:paraId="6535831A" w14:textId="77777777" w:rsidR="00192F18" w:rsidRPr="00192F18" w:rsidRDefault="00192F18">
      <w:pPr>
        <w:widowControl w:val="0"/>
        <w:numPr>
          <w:ilvl w:val="1"/>
          <w:numId w:val="68"/>
        </w:numPr>
        <w:tabs>
          <w:tab w:val="left" w:pos="720"/>
        </w:tabs>
        <w:spacing w:after="62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The Company acknowledges DESFA’s Code of Ethics (the “Code”), as published on DESFA’s site, which shall be fully applicable to this Agreement, and the Company shall comply with the relevant provisions of the Code, including conflicts of interest. The Company further acknowledges that DESFA’s Anticorruption Policy, as published on DESFA’s site shall be applicable to them and that it shall comply with its provisions. The Company shall not violate or knowingly permit anyone to violate the Code’s prohibition on bribery or any applicable anti-corruption laws, regulations, </w:t>
      </w:r>
      <w:proofErr w:type="gramStart"/>
      <w:r w:rsidRPr="00192F18">
        <w:rPr>
          <w:rFonts w:ascii="Calibri" w:eastAsia="Calibri" w:hAnsi="Calibri" w:cs="Calibri"/>
          <w:color w:val="000000"/>
          <w:sz w:val="24"/>
          <w:szCs w:val="24"/>
          <w:lang w:bidi="en-US"/>
        </w:rPr>
        <w:t>policies</w:t>
      </w:r>
      <w:proofErr w:type="gramEnd"/>
      <w:r w:rsidRPr="00192F18">
        <w:rPr>
          <w:rFonts w:ascii="Calibri" w:eastAsia="Calibri" w:hAnsi="Calibri" w:cs="Calibri"/>
          <w:color w:val="000000"/>
          <w:sz w:val="24"/>
          <w:szCs w:val="24"/>
          <w:lang w:bidi="en-US"/>
        </w:rPr>
        <w:t xml:space="preserve"> and procedures in performing under this Agreement. If the Company breaches this Article, DESFA may immediately terminate this Agreement.</w:t>
      </w:r>
    </w:p>
    <w:p w14:paraId="50F371EF" w14:textId="77777777" w:rsidR="00192F18" w:rsidRPr="00192F18" w:rsidRDefault="00192F18">
      <w:pPr>
        <w:keepNext/>
        <w:keepLines/>
        <w:widowControl w:val="0"/>
        <w:numPr>
          <w:ilvl w:val="0"/>
          <w:numId w:val="52"/>
        </w:numPr>
        <w:tabs>
          <w:tab w:val="left" w:pos="1081"/>
        </w:tabs>
        <w:spacing w:after="80" w:line="257" w:lineRule="auto"/>
        <w:jc w:val="center"/>
        <w:outlineLvl w:val="3"/>
        <w:rPr>
          <w:rFonts w:ascii="Calibri" w:eastAsia="Calibri" w:hAnsi="Calibri" w:cs="Calibri"/>
          <w:b/>
          <w:bCs/>
          <w:color w:val="000000"/>
          <w:sz w:val="24"/>
          <w:szCs w:val="24"/>
          <w:lang w:bidi="en-US"/>
        </w:rPr>
      </w:pPr>
      <w:bookmarkStart w:id="91" w:name="bookmark50"/>
      <w:r w:rsidRPr="00192F18">
        <w:rPr>
          <w:rFonts w:ascii="Calibri" w:eastAsia="Calibri" w:hAnsi="Calibri" w:cs="Calibri"/>
          <w:b/>
          <w:bCs/>
          <w:color w:val="000000"/>
          <w:sz w:val="24"/>
          <w:szCs w:val="24"/>
          <w:lang w:bidi="en-US"/>
        </w:rPr>
        <w:t>Representation and Warranties</w:t>
      </w:r>
      <w:bookmarkEnd w:id="91"/>
    </w:p>
    <w:p w14:paraId="2666B079" w14:textId="77777777" w:rsidR="00192F18" w:rsidRPr="00192F18" w:rsidRDefault="00192F18">
      <w:pPr>
        <w:widowControl w:val="0"/>
        <w:numPr>
          <w:ilvl w:val="1"/>
          <w:numId w:val="69"/>
        </w:numPr>
        <w:tabs>
          <w:tab w:val="left" w:pos="720"/>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The Company has the power to </w:t>
      </w:r>
      <w:proofErr w:type="gramStart"/>
      <w:r w:rsidRPr="00192F18">
        <w:rPr>
          <w:rFonts w:ascii="Calibri" w:eastAsia="Calibri" w:hAnsi="Calibri" w:cs="Calibri"/>
          <w:color w:val="000000"/>
          <w:sz w:val="24"/>
          <w:szCs w:val="24"/>
          <w:lang w:bidi="en-US"/>
        </w:rPr>
        <w:t>enter into</w:t>
      </w:r>
      <w:proofErr w:type="gramEnd"/>
      <w:r w:rsidRPr="00192F18">
        <w:rPr>
          <w:rFonts w:ascii="Calibri" w:eastAsia="Calibri" w:hAnsi="Calibri" w:cs="Calibri"/>
          <w:color w:val="000000"/>
          <w:sz w:val="24"/>
          <w:szCs w:val="24"/>
          <w:lang w:bidi="en-US"/>
        </w:rPr>
        <w:t>, deliver and perform, and has taken all necessary action to authorize its entry into, delivery and performance of this Agreement.</w:t>
      </w:r>
    </w:p>
    <w:p w14:paraId="4C8CD2D8" w14:textId="77777777" w:rsidR="00192F18" w:rsidRPr="00192F18" w:rsidRDefault="00192F18">
      <w:pPr>
        <w:widowControl w:val="0"/>
        <w:numPr>
          <w:ilvl w:val="1"/>
          <w:numId w:val="69"/>
        </w:numPr>
        <w:tabs>
          <w:tab w:val="left" w:pos="720"/>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lastRenderedPageBreak/>
        <w:t xml:space="preserve">The obligations expressed to be assumed by the Company pursuant to this Agreement are legal, valid, </w:t>
      </w:r>
      <w:proofErr w:type="gramStart"/>
      <w:r w:rsidRPr="00192F18">
        <w:rPr>
          <w:rFonts w:ascii="Calibri" w:eastAsia="Calibri" w:hAnsi="Calibri" w:cs="Calibri"/>
          <w:color w:val="000000"/>
          <w:sz w:val="24"/>
          <w:szCs w:val="24"/>
          <w:lang w:bidi="en-US"/>
        </w:rPr>
        <w:t>binding</w:t>
      </w:r>
      <w:proofErr w:type="gramEnd"/>
      <w:r w:rsidRPr="00192F18">
        <w:rPr>
          <w:rFonts w:ascii="Calibri" w:eastAsia="Calibri" w:hAnsi="Calibri" w:cs="Calibri"/>
          <w:color w:val="000000"/>
          <w:sz w:val="24"/>
          <w:szCs w:val="24"/>
          <w:lang w:bidi="en-US"/>
        </w:rPr>
        <w:t xml:space="preserve"> and enforceable.</w:t>
      </w:r>
    </w:p>
    <w:p w14:paraId="51818DD9" w14:textId="77777777" w:rsidR="00192F18" w:rsidRPr="00192F18" w:rsidRDefault="00192F18">
      <w:pPr>
        <w:widowControl w:val="0"/>
        <w:numPr>
          <w:ilvl w:val="1"/>
          <w:numId w:val="69"/>
        </w:numPr>
        <w:tabs>
          <w:tab w:val="left" w:pos="720"/>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The entry into, delivery and performance by the Company of this Agreement does not conflict with any agreement or instrument binding upon it or any of its assets to an extent or in a manner which has or is reasonably expected to have a material adverse effect.</w:t>
      </w:r>
    </w:p>
    <w:p w14:paraId="722B8E74" w14:textId="77777777" w:rsidR="00192F18" w:rsidRPr="00192F18" w:rsidRDefault="00192F18">
      <w:pPr>
        <w:widowControl w:val="0"/>
        <w:numPr>
          <w:ilvl w:val="1"/>
          <w:numId w:val="69"/>
        </w:numPr>
        <w:tabs>
          <w:tab w:val="left" w:pos="720"/>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All authorizations which are required to be obtained by the Company on or before the date on which this representation have been obtained by the Company.</w:t>
      </w:r>
    </w:p>
    <w:p w14:paraId="0C04E311" w14:textId="77777777" w:rsidR="00192F18" w:rsidRPr="00192F18" w:rsidRDefault="00192F18">
      <w:pPr>
        <w:widowControl w:val="0"/>
        <w:numPr>
          <w:ilvl w:val="1"/>
          <w:numId w:val="69"/>
        </w:numPr>
        <w:tabs>
          <w:tab w:val="left" w:pos="720"/>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No Default with respect to the Company has occurred and is continuing or might reasonably be expected to result from its entry into or performance of this Agreement.</w:t>
      </w:r>
    </w:p>
    <w:p w14:paraId="3287BE72" w14:textId="77777777" w:rsidR="00192F18" w:rsidRPr="00192F18" w:rsidRDefault="00192F18">
      <w:pPr>
        <w:widowControl w:val="0"/>
        <w:numPr>
          <w:ilvl w:val="1"/>
          <w:numId w:val="69"/>
        </w:numPr>
        <w:tabs>
          <w:tab w:val="left" w:pos="720"/>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No litigation, arbitration or administrative suit or proceeding against the Company which, if adversely determined, would </w:t>
      </w:r>
      <w:proofErr w:type="gramStart"/>
      <w:r w:rsidRPr="00192F18">
        <w:rPr>
          <w:rFonts w:ascii="Calibri" w:eastAsia="Calibri" w:hAnsi="Calibri" w:cs="Calibri"/>
          <w:color w:val="000000"/>
          <w:sz w:val="24"/>
          <w:szCs w:val="24"/>
          <w:lang w:bidi="en-US"/>
        </w:rPr>
        <w:t>have</w:t>
      </w:r>
      <w:proofErr w:type="gramEnd"/>
      <w:r w:rsidRPr="00192F18">
        <w:rPr>
          <w:rFonts w:ascii="Calibri" w:eastAsia="Calibri" w:hAnsi="Calibri" w:cs="Calibri"/>
          <w:color w:val="000000"/>
          <w:sz w:val="24"/>
          <w:szCs w:val="24"/>
          <w:lang w:bidi="en-US"/>
        </w:rPr>
        <w:t xml:space="preserve"> or would reasonably be expected to have a material adverse effect, is:</w:t>
      </w:r>
    </w:p>
    <w:p w14:paraId="1CA1E8E4" w14:textId="77777777" w:rsidR="00192F18" w:rsidRPr="00192F18" w:rsidRDefault="00192F18">
      <w:pPr>
        <w:widowControl w:val="0"/>
        <w:numPr>
          <w:ilvl w:val="0"/>
          <w:numId w:val="70"/>
        </w:numPr>
        <w:tabs>
          <w:tab w:val="left" w:pos="720"/>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current; or</w:t>
      </w:r>
    </w:p>
    <w:p w14:paraId="0A7045A1" w14:textId="77777777" w:rsidR="00192F18" w:rsidRPr="00192F18" w:rsidRDefault="00192F18">
      <w:pPr>
        <w:widowControl w:val="0"/>
        <w:numPr>
          <w:ilvl w:val="0"/>
          <w:numId w:val="70"/>
        </w:numPr>
        <w:tabs>
          <w:tab w:val="left" w:pos="720"/>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pending before any court, arbitral or other tribunal, administrative or regulatory body, as the case may </w:t>
      </w:r>
      <w:proofErr w:type="gramStart"/>
      <w:r w:rsidRPr="00192F18">
        <w:rPr>
          <w:rFonts w:ascii="Calibri" w:eastAsia="Calibri" w:hAnsi="Calibri" w:cs="Calibri"/>
          <w:color w:val="000000"/>
          <w:sz w:val="24"/>
          <w:szCs w:val="24"/>
          <w:lang w:bidi="en-US"/>
        </w:rPr>
        <w:t>be;</w:t>
      </w:r>
      <w:proofErr w:type="gramEnd"/>
      <w:r w:rsidRPr="00192F18">
        <w:rPr>
          <w:rFonts w:ascii="Calibri" w:eastAsia="Calibri" w:hAnsi="Calibri" w:cs="Calibri"/>
          <w:color w:val="000000"/>
          <w:sz w:val="24"/>
          <w:szCs w:val="24"/>
          <w:lang w:bidi="en-US"/>
        </w:rPr>
        <w:t xml:space="preserve"> or</w:t>
      </w:r>
    </w:p>
    <w:p w14:paraId="102BD9F4" w14:textId="77777777" w:rsidR="00192F18" w:rsidRPr="00192F18" w:rsidRDefault="00192F18">
      <w:pPr>
        <w:widowControl w:val="0"/>
        <w:numPr>
          <w:ilvl w:val="0"/>
          <w:numId w:val="70"/>
        </w:numPr>
        <w:tabs>
          <w:tab w:val="left" w:pos="720"/>
        </w:tabs>
        <w:spacing w:after="62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so far as the Company is aware, by reason of receipt of a letter/ formal written notice before action or similar, threatened against the Company.</w:t>
      </w:r>
    </w:p>
    <w:p w14:paraId="7D551C69" w14:textId="77777777" w:rsidR="00192F18" w:rsidRPr="00192F18" w:rsidRDefault="00192F18">
      <w:pPr>
        <w:keepNext/>
        <w:keepLines/>
        <w:widowControl w:val="0"/>
        <w:numPr>
          <w:ilvl w:val="0"/>
          <w:numId w:val="52"/>
        </w:numPr>
        <w:tabs>
          <w:tab w:val="left" w:pos="1081"/>
        </w:tabs>
        <w:spacing w:after="80" w:line="257" w:lineRule="auto"/>
        <w:jc w:val="center"/>
        <w:outlineLvl w:val="3"/>
        <w:rPr>
          <w:rFonts w:ascii="Calibri" w:eastAsia="Calibri" w:hAnsi="Calibri" w:cs="Calibri"/>
          <w:b/>
          <w:bCs/>
          <w:color w:val="000000"/>
          <w:sz w:val="24"/>
          <w:szCs w:val="24"/>
          <w:lang w:bidi="en-US"/>
        </w:rPr>
      </w:pPr>
      <w:bookmarkStart w:id="92" w:name="bookmark52"/>
      <w:r w:rsidRPr="00192F18">
        <w:rPr>
          <w:rFonts w:ascii="Calibri" w:eastAsia="Calibri" w:hAnsi="Calibri" w:cs="Calibri"/>
          <w:b/>
          <w:bCs/>
          <w:color w:val="000000"/>
          <w:sz w:val="24"/>
          <w:szCs w:val="24"/>
          <w:lang w:bidi="en-US"/>
        </w:rPr>
        <w:t>Governing Law and Dispute Resolution</w:t>
      </w:r>
      <w:bookmarkEnd w:id="92"/>
    </w:p>
    <w:p w14:paraId="452FDFE1" w14:textId="77777777" w:rsidR="00192F18" w:rsidRPr="00192F18" w:rsidRDefault="00192F18">
      <w:pPr>
        <w:widowControl w:val="0"/>
        <w:numPr>
          <w:ilvl w:val="1"/>
          <w:numId w:val="71"/>
        </w:numPr>
        <w:tabs>
          <w:tab w:val="left" w:pos="720"/>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This Agreement and any non-contractual obligations arising out of or in connection with it shall be governed by the Laws of Greece.</w:t>
      </w:r>
    </w:p>
    <w:p w14:paraId="58AC9EC4" w14:textId="77777777" w:rsidR="00192F18" w:rsidRPr="00192F18" w:rsidRDefault="00192F18">
      <w:pPr>
        <w:widowControl w:val="0"/>
        <w:numPr>
          <w:ilvl w:val="1"/>
          <w:numId w:val="71"/>
        </w:numPr>
        <w:tabs>
          <w:tab w:val="left" w:pos="741"/>
        </w:tabs>
        <w:spacing w:after="62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Any dispute which may arise between the Parties in interpreting or implementing the Agreement and which may not be amicably resolved, the courts exclusively competent to resolve said dispute shall be the Courts of Athens.</w:t>
      </w:r>
    </w:p>
    <w:p w14:paraId="7153B1D9" w14:textId="77777777" w:rsidR="00192F18" w:rsidRPr="00192F18" w:rsidRDefault="00192F18">
      <w:pPr>
        <w:widowControl w:val="0"/>
        <w:numPr>
          <w:ilvl w:val="0"/>
          <w:numId w:val="52"/>
        </w:numPr>
        <w:tabs>
          <w:tab w:val="left" w:pos="1110"/>
        </w:tabs>
        <w:spacing w:after="80" w:line="254" w:lineRule="auto"/>
        <w:jc w:val="center"/>
        <w:rPr>
          <w:rFonts w:ascii="Calibri" w:eastAsia="Calibri" w:hAnsi="Calibri" w:cs="Calibri"/>
          <w:color w:val="000000"/>
          <w:sz w:val="24"/>
          <w:szCs w:val="24"/>
          <w:lang w:bidi="en-US"/>
        </w:rPr>
      </w:pPr>
      <w:r w:rsidRPr="00192F18">
        <w:rPr>
          <w:rFonts w:ascii="Calibri" w:eastAsia="Calibri" w:hAnsi="Calibri" w:cs="Calibri"/>
          <w:b/>
          <w:bCs/>
          <w:color w:val="000000"/>
          <w:sz w:val="24"/>
          <w:szCs w:val="24"/>
          <w:lang w:bidi="en-US"/>
        </w:rPr>
        <w:t>Miscellaneous</w:t>
      </w:r>
    </w:p>
    <w:p w14:paraId="32DABA35" w14:textId="77777777" w:rsidR="00192F18" w:rsidRPr="00192F18" w:rsidRDefault="00192F18">
      <w:pPr>
        <w:keepNext/>
        <w:keepLines/>
        <w:widowControl w:val="0"/>
        <w:numPr>
          <w:ilvl w:val="1"/>
          <w:numId w:val="72"/>
        </w:numPr>
        <w:spacing w:after="0" w:line="254" w:lineRule="auto"/>
        <w:jc w:val="both"/>
        <w:outlineLvl w:val="3"/>
        <w:rPr>
          <w:rFonts w:ascii="Calibri" w:eastAsia="Calibri" w:hAnsi="Calibri" w:cs="Calibri"/>
          <w:b/>
          <w:bCs/>
          <w:color w:val="000000"/>
          <w:sz w:val="24"/>
          <w:szCs w:val="24"/>
          <w:lang w:bidi="en-US"/>
        </w:rPr>
      </w:pPr>
      <w:bookmarkStart w:id="93" w:name="bookmark54"/>
      <w:r w:rsidRPr="00192F18">
        <w:rPr>
          <w:rFonts w:ascii="Calibri" w:eastAsia="Calibri" w:hAnsi="Calibri" w:cs="Calibri"/>
          <w:color w:val="000000"/>
          <w:sz w:val="24"/>
          <w:szCs w:val="24"/>
          <w:lang w:bidi="en-US"/>
        </w:rPr>
        <w:t>Language</w:t>
      </w:r>
      <w:bookmarkEnd w:id="93"/>
    </w:p>
    <w:p w14:paraId="0C265E25" w14:textId="77777777" w:rsidR="00192F18" w:rsidRPr="00192F18" w:rsidRDefault="00192F18" w:rsidP="00192F18">
      <w:pPr>
        <w:widowControl w:val="0"/>
        <w:spacing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The language of this Agreement and the transactions envisaged by it shall be English and all Notices, demands, requests, statements, certificates or other documents or communications shall be in English unless otherwise mandatorily required by any Competent Authority or agreed in writing (in which case a certified English translation shall be delivered by the responsible Party, at its own cost, to the other Party). If this Agreement or any related documents are translated into another language, the English version shall prevail.</w:t>
      </w:r>
    </w:p>
    <w:p w14:paraId="36F67195" w14:textId="77777777" w:rsidR="00192F18" w:rsidRPr="00192F18" w:rsidRDefault="00192F18">
      <w:pPr>
        <w:keepNext/>
        <w:keepLines/>
        <w:widowControl w:val="0"/>
        <w:numPr>
          <w:ilvl w:val="1"/>
          <w:numId w:val="72"/>
        </w:numPr>
        <w:spacing w:after="0" w:line="254" w:lineRule="auto"/>
        <w:jc w:val="both"/>
        <w:outlineLvl w:val="3"/>
        <w:rPr>
          <w:rFonts w:ascii="Calibri" w:eastAsia="Calibri" w:hAnsi="Calibri" w:cs="Calibri"/>
          <w:color w:val="000000"/>
          <w:sz w:val="24"/>
          <w:szCs w:val="24"/>
          <w:lang w:bidi="en-US"/>
        </w:rPr>
      </w:pPr>
      <w:bookmarkStart w:id="94" w:name="bookmark56"/>
      <w:r w:rsidRPr="00192F18">
        <w:rPr>
          <w:rFonts w:ascii="Calibri" w:eastAsia="Calibri" w:hAnsi="Calibri" w:cs="Calibri"/>
          <w:color w:val="000000"/>
          <w:sz w:val="24"/>
          <w:szCs w:val="24"/>
          <w:lang w:bidi="en-US"/>
        </w:rPr>
        <w:t>Data Protection</w:t>
      </w:r>
      <w:bookmarkEnd w:id="94"/>
    </w:p>
    <w:p w14:paraId="27702730" w14:textId="77777777" w:rsidR="00192F18" w:rsidRPr="00192F18" w:rsidRDefault="00192F18" w:rsidP="00192F18">
      <w:pPr>
        <w:widowControl w:val="0"/>
        <w:spacing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The Parties shall process any personal data transferred by the other Party (“Personal Data”) </w:t>
      </w:r>
      <w:r w:rsidRPr="00192F18">
        <w:rPr>
          <w:rFonts w:ascii="Calibri" w:eastAsia="Calibri" w:hAnsi="Calibri" w:cs="Calibri"/>
          <w:color w:val="000000"/>
          <w:sz w:val="24"/>
          <w:szCs w:val="24"/>
          <w:lang w:bidi="en-US"/>
        </w:rPr>
        <w:lastRenderedPageBreak/>
        <w:t>in accordance with applicable European and national data protection laws and regulations. Furthermore, each Party shall process Personal Data only to the extent necessary for the performance of the Contract and the fulfilment of legal obligations in its capacity as Independent Data Controller.</w:t>
      </w:r>
    </w:p>
    <w:p w14:paraId="149C2FE9" w14:textId="77777777" w:rsidR="00192F18" w:rsidRPr="00192F18" w:rsidRDefault="00192F18" w:rsidP="00192F18">
      <w:pPr>
        <w:widowControl w:val="0"/>
        <w:spacing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Both Parties are obliged to process Personal Data as confidential information and ensure that any member of their staff who has access to or is involved in the processing of Personal Data complies with the present terms.</w:t>
      </w:r>
    </w:p>
    <w:p w14:paraId="46E6BE75" w14:textId="77777777" w:rsidR="00192F18" w:rsidRPr="00192F18" w:rsidRDefault="00192F18" w:rsidP="00192F18">
      <w:pPr>
        <w:widowControl w:val="0"/>
        <w:spacing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The Parties also agree to be subject to the following obligations; </w:t>
      </w:r>
      <w:proofErr w:type="gramStart"/>
      <w:r w:rsidRPr="00192F18">
        <w:rPr>
          <w:rFonts w:ascii="Calibri" w:eastAsia="Calibri" w:hAnsi="Calibri" w:cs="Calibri"/>
          <w:color w:val="000000"/>
          <w:sz w:val="24"/>
          <w:szCs w:val="24"/>
          <w:lang w:bidi="en-US"/>
        </w:rPr>
        <w:t>specifically</w:t>
      </w:r>
      <w:proofErr w:type="gramEnd"/>
      <w:r w:rsidRPr="00192F18">
        <w:rPr>
          <w:rFonts w:ascii="Calibri" w:eastAsia="Calibri" w:hAnsi="Calibri" w:cs="Calibri"/>
          <w:color w:val="000000"/>
          <w:sz w:val="24"/>
          <w:szCs w:val="24"/>
          <w:lang w:bidi="en-US"/>
        </w:rPr>
        <w:t xml:space="preserve"> that:</w:t>
      </w:r>
    </w:p>
    <w:p w14:paraId="1D256CEA" w14:textId="77777777" w:rsidR="00192F18" w:rsidRPr="00192F18" w:rsidRDefault="00192F18">
      <w:pPr>
        <w:widowControl w:val="0"/>
        <w:numPr>
          <w:ilvl w:val="0"/>
          <w:numId w:val="73"/>
        </w:numPr>
        <w:tabs>
          <w:tab w:val="left" w:pos="730"/>
        </w:tabs>
        <w:spacing w:after="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Data are lawfully collected and </w:t>
      </w:r>
      <w:proofErr w:type="gramStart"/>
      <w:r w:rsidRPr="00192F18">
        <w:rPr>
          <w:rFonts w:ascii="Calibri" w:eastAsia="Calibri" w:hAnsi="Calibri" w:cs="Calibri"/>
          <w:color w:val="000000"/>
          <w:sz w:val="24"/>
          <w:szCs w:val="24"/>
          <w:lang w:bidi="en-US"/>
        </w:rPr>
        <w:t>processed;</w:t>
      </w:r>
      <w:proofErr w:type="gramEnd"/>
    </w:p>
    <w:p w14:paraId="3FD021C1" w14:textId="77777777" w:rsidR="00192F18" w:rsidRPr="00192F18" w:rsidRDefault="00192F18">
      <w:pPr>
        <w:widowControl w:val="0"/>
        <w:numPr>
          <w:ilvl w:val="0"/>
          <w:numId w:val="73"/>
        </w:numPr>
        <w:tabs>
          <w:tab w:val="left" w:pos="741"/>
        </w:tabs>
        <w:spacing w:after="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Transfers of personal data outside the European Economic Area are conducted in line with articles 44-50 </w:t>
      </w:r>
      <w:proofErr w:type="gramStart"/>
      <w:r w:rsidRPr="00192F18">
        <w:rPr>
          <w:rFonts w:ascii="Calibri" w:eastAsia="Calibri" w:hAnsi="Calibri" w:cs="Calibri"/>
          <w:color w:val="000000"/>
          <w:sz w:val="24"/>
          <w:szCs w:val="24"/>
          <w:lang w:bidi="en-US"/>
        </w:rPr>
        <w:t>GDPR;</w:t>
      </w:r>
      <w:proofErr w:type="gramEnd"/>
    </w:p>
    <w:p w14:paraId="2EABAD4D" w14:textId="77777777" w:rsidR="00192F18" w:rsidRPr="00192F18" w:rsidRDefault="00192F18">
      <w:pPr>
        <w:widowControl w:val="0"/>
        <w:numPr>
          <w:ilvl w:val="0"/>
          <w:numId w:val="73"/>
        </w:numPr>
        <w:tabs>
          <w:tab w:val="left" w:pos="741"/>
        </w:tabs>
        <w:spacing w:after="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Data subject requests about the exercise of their rights are addressed lawfully and in a timely manner, with the cooperation and assistance of the other Party wherever </w:t>
      </w:r>
      <w:proofErr w:type="gramStart"/>
      <w:r w:rsidRPr="00192F18">
        <w:rPr>
          <w:rFonts w:ascii="Calibri" w:eastAsia="Calibri" w:hAnsi="Calibri" w:cs="Calibri"/>
          <w:color w:val="000000"/>
          <w:sz w:val="24"/>
          <w:szCs w:val="24"/>
          <w:lang w:bidi="en-US"/>
        </w:rPr>
        <w:t>needed;</w:t>
      </w:r>
      <w:proofErr w:type="gramEnd"/>
    </w:p>
    <w:p w14:paraId="0B2421B1" w14:textId="77777777" w:rsidR="00192F18" w:rsidRPr="00192F18" w:rsidRDefault="00192F18">
      <w:pPr>
        <w:widowControl w:val="0"/>
        <w:numPr>
          <w:ilvl w:val="0"/>
          <w:numId w:val="73"/>
        </w:numPr>
        <w:tabs>
          <w:tab w:val="left" w:pos="741"/>
        </w:tabs>
        <w:spacing w:after="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Cooperation and assistance </w:t>
      </w:r>
      <w:proofErr w:type="gramStart"/>
      <w:r w:rsidRPr="00192F18">
        <w:rPr>
          <w:rFonts w:ascii="Calibri" w:eastAsia="Calibri" w:hAnsi="Calibri" w:cs="Calibri"/>
          <w:color w:val="000000"/>
          <w:sz w:val="24"/>
          <w:szCs w:val="24"/>
          <w:lang w:bidi="en-US"/>
        </w:rPr>
        <w:t>is</w:t>
      </w:r>
      <w:proofErr w:type="gramEnd"/>
      <w:r w:rsidRPr="00192F18">
        <w:rPr>
          <w:rFonts w:ascii="Calibri" w:eastAsia="Calibri" w:hAnsi="Calibri" w:cs="Calibri"/>
          <w:color w:val="000000"/>
          <w:sz w:val="24"/>
          <w:szCs w:val="24"/>
          <w:lang w:bidi="en-US"/>
        </w:rPr>
        <w:t xml:space="preserve"> provided between the Parties in good faith for the compliance with obligations related to data breaches.</w:t>
      </w:r>
    </w:p>
    <w:p w14:paraId="042D380E" w14:textId="77777777" w:rsidR="00192F18" w:rsidRPr="00192F18" w:rsidRDefault="00192F18" w:rsidP="00192F18">
      <w:pPr>
        <w:widowControl w:val="0"/>
        <w:spacing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DESFA has the right to request at any time the return and/or deletion of any personal data transferred to the </w:t>
      </w:r>
      <w:proofErr w:type="gramStart"/>
      <w:r w:rsidRPr="00192F18">
        <w:rPr>
          <w:rFonts w:ascii="Calibri" w:eastAsia="Calibri" w:hAnsi="Calibri" w:cs="Calibri"/>
          <w:color w:val="000000"/>
          <w:sz w:val="24"/>
          <w:szCs w:val="24"/>
          <w:lang w:bidi="en-US"/>
        </w:rPr>
        <w:t>Company, unless</w:t>
      </w:r>
      <w:proofErr w:type="gramEnd"/>
      <w:r w:rsidRPr="00192F18">
        <w:rPr>
          <w:rFonts w:ascii="Calibri" w:eastAsia="Calibri" w:hAnsi="Calibri" w:cs="Calibri"/>
          <w:color w:val="000000"/>
          <w:sz w:val="24"/>
          <w:szCs w:val="24"/>
          <w:lang w:bidi="en-US"/>
        </w:rPr>
        <w:t xml:space="preserve"> the latter is required by law to keep this data. After termination of this Agreement, the Company is obliged to terminate the processing of Personal Data and proceed to their return or erasure.</w:t>
      </w:r>
    </w:p>
    <w:p w14:paraId="55CC1FC4" w14:textId="77777777" w:rsidR="00192F18" w:rsidRPr="00192F18" w:rsidRDefault="00192F18" w:rsidP="00192F18">
      <w:pPr>
        <w:widowControl w:val="0"/>
        <w:spacing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The Company warrants and guarantees that organizational and technical measures are applied, </w:t>
      </w:r>
      <w:proofErr w:type="gramStart"/>
      <w:r w:rsidRPr="00192F18">
        <w:rPr>
          <w:rFonts w:ascii="Calibri" w:eastAsia="Calibri" w:hAnsi="Calibri" w:cs="Calibri"/>
          <w:color w:val="000000"/>
          <w:sz w:val="24"/>
          <w:szCs w:val="24"/>
          <w:lang w:bidi="en-US"/>
        </w:rPr>
        <w:t>in order to</w:t>
      </w:r>
      <w:proofErr w:type="gramEnd"/>
      <w:r w:rsidRPr="00192F18">
        <w:rPr>
          <w:rFonts w:ascii="Calibri" w:eastAsia="Calibri" w:hAnsi="Calibri" w:cs="Calibri"/>
          <w:color w:val="000000"/>
          <w:sz w:val="24"/>
          <w:szCs w:val="24"/>
          <w:lang w:bidi="en-US"/>
        </w:rPr>
        <w:t xml:space="preserve"> ensure the protection and security of Personal Data and that it shall fully comply with its accountability requirements before competent Supervisory Authorities under applicable data protection laws and regulations.</w:t>
      </w:r>
    </w:p>
    <w:p w14:paraId="12EB8244" w14:textId="77777777" w:rsidR="00192F18" w:rsidRPr="00192F18" w:rsidRDefault="00192F18">
      <w:pPr>
        <w:keepNext/>
        <w:keepLines/>
        <w:widowControl w:val="0"/>
        <w:numPr>
          <w:ilvl w:val="1"/>
          <w:numId w:val="72"/>
        </w:numPr>
        <w:spacing w:after="0" w:line="254" w:lineRule="auto"/>
        <w:jc w:val="both"/>
        <w:outlineLvl w:val="3"/>
        <w:rPr>
          <w:rFonts w:ascii="Calibri" w:eastAsia="Calibri" w:hAnsi="Calibri" w:cs="Calibri"/>
          <w:color w:val="000000"/>
          <w:sz w:val="24"/>
          <w:szCs w:val="24"/>
          <w:lang w:bidi="en-US"/>
        </w:rPr>
      </w:pPr>
      <w:bookmarkStart w:id="95" w:name="bookmark58"/>
      <w:r w:rsidRPr="00192F18">
        <w:rPr>
          <w:rFonts w:ascii="Calibri" w:eastAsia="Calibri" w:hAnsi="Calibri" w:cs="Calibri"/>
          <w:color w:val="000000"/>
          <w:sz w:val="24"/>
          <w:szCs w:val="24"/>
          <w:lang w:bidi="en-US"/>
        </w:rPr>
        <w:t>Notices</w:t>
      </w:r>
      <w:bookmarkEnd w:id="95"/>
    </w:p>
    <w:p w14:paraId="6FF118EE" w14:textId="77777777" w:rsidR="00192F18" w:rsidRPr="00192F18" w:rsidRDefault="00192F18" w:rsidP="00192F18">
      <w:pPr>
        <w:widowControl w:val="0"/>
        <w:spacing w:after="14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Any notice or other communication from one Party to any other Party which is required or permitted to be made under the provisions of this Agreement shall be made in writing and delivered by hand, email, pre-paid recorded delivery, pre-paid special </w:t>
      </w:r>
      <w:proofErr w:type="gramStart"/>
      <w:r w:rsidRPr="00192F18">
        <w:rPr>
          <w:rFonts w:ascii="Calibri" w:eastAsia="Calibri" w:hAnsi="Calibri" w:cs="Calibri"/>
          <w:color w:val="000000"/>
          <w:sz w:val="24"/>
          <w:szCs w:val="24"/>
          <w:lang w:bidi="en-US"/>
        </w:rPr>
        <w:t>delivery</w:t>
      </w:r>
      <w:proofErr w:type="gramEnd"/>
      <w:r w:rsidRPr="00192F18">
        <w:rPr>
          <w:rFonts w:ascii="Calibri" w:eastAsia="Calibri" w:hAnsi="Calibri" w:cs="Calibri"/>
          <w:color w:val="000000"/>
          <w:sz w:val="24"/>
          <w:szCs w:val="24"/>
          <w:lang w:bidi="en-US"/>
        </w:rPr>
        <w:t xml:space="preserve"> or courier to the other Party at the address and marked for the attention of the person(s) designated below:</w:t>
      </w:r>
    </w:p>
    <w:p w14:paraId="0F566570" w14:textId="77777777" w:rsidR="00192F18" w:rsidRPr="00192F18" w:rsidRDefault="00192F18">
      <w:pPr>
        <w:widowControl w:val="0"/>
        <w:numPr>
          <w:ilvl w:val="0"/>
          <w:numId w:val="74"/>
        </w:numPr>
        <w:tabs>
          <w:tab w:val="left" w:pos="716"/>
        </w:tabs>
        <w:spacing w:after="14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if to DESFA:</w:t>
      </w:r>
    </w:p>
    <w:p w14:paraId="007E40A6" w14:textId="77777777" w:rsidR="00192F18" w:rsidRPr="00192F18" w:rsidRDefault="00192F18" w:rsidP="00192F18">
      <w:pPr>
        <w:widowControl w:val="0"/>
        <w:spacing w:after="14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Address: [•]</w:t>
      </w:r>
    </w:p>
    <w:p w14:paraId="0682D44F" w14:textId="77777777" w:rsidR="00192F18" w:rsidRPr="00192F18" w:rsidRDefault="00192F18" w:rsidP="00192F18">
      <w:pPr>
        <w:widowControl w:val="0"/>
        <w:spacing w:after="14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Email: [•]</w:t>
      </w:r>
    </w:p>
    <w:p w14:paraId="6417906C" w14:textId="77777777" w:rsidR="00192F18" w:rsidRPr="00192F18" w:rsidRDefault="00192F18" w:rsidP="00192F18">
      <w:pPr>
        <w:widowControl w:val="0"/>
        <w:spacing w:after="14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Tel. number: [•]</w:t>
      </w:r>
    </w:p>
    <w:p w14:paraId="770C6DA2" w14:textId="77777777" w:rsidR="00192F18" w:rsidRPr="00192F18" w:rsidRDefault="00192F18" w:rsidP="00192F18">
      <w:pPr>
        <w:widowControl w:val="0"/>
        <w:spacing w:after="14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Marked for the attention of:</w:t>
      </w:r>
    </w:p>
    <w:p w14:paraId="32D6DE1B" w14:textId="77777777" w:rsidR="00192F18" w:rsidRPr="00192F18" w:rsidRDefault="00192F18">
      <w:pPr>
        <w:widowControl w:val="0"/>
        <w:numPr>
          <w:ilvl w:val="0"/>
          <w:numId w:val="74"/>
        </w:numPr>
        <w:tabs>
          <w:tab w:val="left" w:pos="716"/>
        </w:tabs>
        <w:spacing w:after="14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if to the Company:</w:t>
      </w:r>
    </w:p>
    <w:p w14:paraId="78138E31" w14:textId="77777777" w:rsidR="00192F18" w:rsidRPr="00192F18" w:rsidRDefault="00192F18" w:rsidP="00192F18">
      <w:pPr>
        <w:widowControl w:val="0"/>
        <w:spacing w:after="14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Address: [•]</w:t>
      </w:r>
    </w:p>
    <w:p w14:paraId="2142EC95" w14:textId="77777777" w:rsidR="00192F18" w:rsidRPr="00192F18" w:rsidRDefault="00192F18" w:rsidP="00192F18">
      <w:pPr>
        <w:widowControl w:val="0"/>
        <w:spacing w:after="14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lastRenderedPageBreak/>
        <w:t>Email: [•]</w:t>
      </w:r>
    </w:p>
    <w:p w14:paraId="1F7AD07F" w14:textId="77777777" w:rsidR="00192F18" w:rsidRPr="00192F18" w:rsidRDefault="00192F18" w:rsidP="00192F18">
      <w:pPr>
        <w:widowControl w:val="0"/>
        <w:spacing w:after="14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Tel. number: [•]</w:t>
      </w:r>
    </w:p>
    <w:p w14:paraId="459D4CBD" w14:textId="77777777" w:rsidR="00192F18" w:rsidRPr="00192F18" w:rsidRDefault="00192F18" w:rsidP="00192F18">
      <w:pPr>
        <w:widowControl w:val="0"/>
        <w:spacing w:after="14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Marked for the attention of: [•]</w:t>
      </w:r>
    </w:p>
    <w:p w14:paraId="3E95B5C4" w14:textId="77777777" w:rsidR="00192F18" w:rsidRPr="00192F18" w:rsidRDefault="00192F18">
      <w:pPr>
        <w:keepNext/>
        <w:keepLines/>
        <w:widowControl w:val="0"/>
        <w:numPr>
          <w:ilvl w:val="1"/>
          <w:numId w:val="72"/>
        </w:numPr>
        <w:spacing w:after="0" w:line="254" w:lineRule="auto"/>
        <w:jc w:val="both"/>
        <w:outlineLvl w:val="3"/>
        <w:rPr>
          <w:rFonts w:ascii="Calibri" w:eastAsia="Calibri" w:hAnsi="Calibri" w:cs="Calibri"/>
          <w:color w:val="000000"/>
          <w:sz w:val="24"/>
          <w:szCs w:val="24"/>
          <w:lang w:bidi="en-US"/>
        </w:rPr>
      </w:pPr>
      <w:bookmarkStart w:id="96" w:name="bookmark60"/>
      <w:r w:rsidRPr="00192F18">
        <w:rPr>
          <w:rFonts w:ascii="Calibri" w:eastAsia="Calibri" w:hAnsi="Calibri" w:cs="Calibri"/>
          <w:color w:val="000000"/>
          <w:sz w:val="24"/>
          <w:szCs w:val="24"/>
          <w:lang w:bidi="en-US"/>
        </w:rPr>
        <w:t>Agent for Service of Process</w:t>
      </w:r>
      <w:bookmarkEnd w:id="96"/>
    </w:p>
    <w:p w14:paraId="106B0882" w14:textId="77777777" w:rsidR="00192F18" w:rsidRPr="00192F18" w:rsidRDefault="00192F18">
      <w:pPr>
        <w:widowControl w:val="0"/>
        <w:numPr>
          <w:ilvl w:val="2"/>
          <w:numId w:val="72"/>
        </w:numPr>
        <w:tabs>
          <w:tab w:val="left" w:pos="838"/>
        </w:tabs>
        <w:spacing w:after="14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The Company shall designate a person resident or seated in Greece who shall be authorized to accept service of both judicial and extra-judicial procedural documents on behalf of the Company. The Company irrevocably appoints </w:t>
      </w:r>
      <w:r w:rsidRPr="00192F18">
        <w:rPr>
          <w:rFonts w:ascii="Calibri" w:eastAsia="Calibri" w:hAnsi="Calibri" w:cs="Calibri"/>
          <w:i/>
          <w:iCs/>
          <w:color w:val="000000"/>
          <w:sz w:val="24"/>
          <w:szCs w:val="24"/>
          <w:lang w:bidi="en-US"/>
        </w:rPr>
        <w:t>[to be completed as appropriate]</w:t>
      </w:r>
      <w:r w:rsidRPr="00192F18">
        <w:rPr>
          <w:rFonts w:ascii="Calibri" w:eastAsia="Calibri" w:hAnsi="Calibri" w:cs="Calibri"/>
          <w:color w:val="000000"/>
          <w:sz w:val="24"/>
          <w:szCs w:val="24"/>
          <w:lang w:bidi="en-US"/>
        </w:rPr>
        <w:t xml:space="preserve"> as its agent under this Agreement for service of process in any proceedings before the competent courts of law or other Competent Authority in relation to any dispute in the context of this Agreement.</w:t>
      </w:r>
    </w:p>
    <w:p w14:paraId="753210B5" w14:textId="77777777" w:rsidR="00192F18" w:rsidRPr="00192F18" w:rsidRDefault="00192F18">
      <w:pPr>
        <w:widowControl w:val="0"/>
        <w:numPr>
          <w:ilvl w:val="2"/>
          <w:numId w:val="72"/>
        </w:numPr>
        <w:tabs>
          <w:tab w:val="left" w:pos="834"/>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The company agrees that failure by a process agent to notify it of any process will not invalidate the relevant proceedings.</w:t>
      </w:r>
    </w:p>
    <w:p w14:paraId="1CB7D369" w14:textId="77777777" w:rsidR="00192F18" w:rsidRPr="00192F18" w:rsidRDefault="00192F18">
      <w:pPr>
        <w:widowControl w:val="0"/>
        <w:numPr>
          <w:ilvl w:val="2"/>
          <w:numId w:val="72"/>
        </w:numPr>
        <w:tabs>
          <w:tab w:val="left" w:pos="838"/>
        </w:tabs>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The service of process provisions set out herein shall not affect any other method of service allowed by Law.</w:t>
      </w:r>
    </w:p>
    <w:p w14:paraId="53362D19" w14:textId="77777777" w:rsidR="00192F18" w:rsidRPr="00192F18" w:rsidRDefault="00192F18">
      <w:pPr>
        <w:keepNext/>
        <w:keepLines/>
        <w:widowControl w:val="0"/>
        <w:numPr>
          <w:ilvl w:val="1"/>
          <w:numId w:val="72"/>
        </w:numPr>
        <w:spacing w:after="0" w:line="254" w:lineRule="auto"/>
        <w:jc w:val="both"/>
        <w:outlineLvl w:val="3"/>
        <w:rPr>
          <w:rFonts w:ascii="Calibri" w:eastAsia="Calibri" w:hAnsi="Calibri" w:cs="Calibri"/>
          <w:color w:val="000000"/>
          <w:sz w:val="24"/>
          <w:szCs w:val="24"/>
          <w:lang w:bidi="en-US"/>
        </w:rPr>
      </w:pPr>
      <w:bookmarkStart w:id="97" w:name="bookmark62"/>
      <w:r w:rsidRPr="00192F18">
        <w:rPr>
          <w:rFonts w:ascii="Calibri" w:eastAsia="Calibri" w:hAnsi="Calibri" w:cs="Calibri"/>
          <w:color w:val="000000"/>
          <w:sz w:val="24"/>
          <w:szCs w:val="24"/>
          <w:lang w:bidi="en-US"/>
        </w:rPr>
        <w:t>Amendment</w:t>
      </w:r>
      <w:bookmarkEnd w:id="97"/>
    </w:p>
    <w:p w14:paraId="606CFCA2" w14:textId="77777777" w:rsidR="00192F18" w:rsidRPr="00192F18" w:rsidRDefault="00192F18" w:rsidP="00192F18">
      <w:pPr>
        <w:widowControl w:val="0"/>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This Agreement may only be amended or modified by agreement in writing and signed by a duly authorized representative of each Party.</w:t>
      </w:r>
    </w:p>
    <w:p w14:paraId="5024C9E9" w14:textId="77777777" w:rsidR="00192F18" w:rsidRPr="00192F18" w:rsidRDefault="00192F18">
      <w:pPr>
        <w:keepNext/>
        <w:keepLines/>
        <w:widowControl w:val="0"/>
        <w:numPr>
          <w:ilvl w:val="1"/>
          <w:numId w:val="72"/>
        </w:numPr>
        <w:spacing w:after="0" w:line="254" w:lineRule="auto"/>
        <w:jc w:val="both"/>
        <w:outlineLvl w:val="3"/>
        <w:rPr>
          <w:rFonts w:ascii="Calibri" w:eastAsia="Calibri" w:hAnsi="Calibri" w:cs="Calibri"/>
          <w:color w:val="000000"/>
          <w:sz w:val="24"/>
          <w:szCs w:val="24"/>
          <w:lang w:bidi="en-US"/>
        </w:rPr>
      </w:pPr>
      <w:bookmarkStart w:id="98" w:name="bookmark64"/>
      <w:r w:rsidRPr="00192F18">
        <w:rPr>
          <w:rFonts w:ascii="Calibri" w:eastAsia="Calibri" w:hAnsi="Calibri" w:cs="Calibri"/>
          <w:color w:val="000000"/>
          <w:sz w:val="24"/>
          <w:szCs w:val="24"/>
          <w:lang w:bidi="en-US"/>
        </w:rPr>
        <w:t>Severability</w:t>
      </w:r>
      <w:bookmarkEnd w:id="98"/>
    </w:p>
    <w:p w14:paraId="2E62E189" w14:textId="77777777" w:rsidR="00192F18" w:rsidRPr="00192F18" w:rsidRDefault="00192F18" w:rsidP="00192F18">
      <w:pPr>
        <w:widowControl w:val="0"/>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If any Article of this Agreement is held to be or becomes void or otherwise unenforceable for any reason under applicable Law, that Article shall be deemed omitted from this Agreement and the validity and enforceability of the remaining provisions of this Agreement shall not in any way be affected or impaired as a result of that omission and the Parties shall meet to negotiate in good faith and seek to agree a mutually satisfactory valid and enforceable provision to replace the omitted provision.</w:t>
      </w:r>
    </w:p>
    <w:p w14:paraId="22732235" w14:textId="77777777" w:rsidR="00192F18" w:rsidRPr="00192F18" w:rsidRDefault="00192F18">
      <w:pPr>
        <w:keepNext/>
        <w:keepLines/>
        <w:widowControl w:val="0"/>
        <w:numPr>
          <w:ilvl w:val="1"/>
          <w:numId w:val="72"/>
        </w:numPr>
        <w:spacing w:after="0" w:line="254" w:lineRule="auto"/>
        <w:jc w:val="both"/>
        <w:outlineLvl w:val="3"/>
        <w:rPr>
          <w:rFonts w:ascii="Calibri" w:eastAsia="Calibri" w:hAnsi="Calibri" w:cs="Calibri"/>
          <w:color w:val="000000"/>
          <w:sz w:val="24"/>
          <w:szCs w:val="24"/>
          <w:lang w:bidi="en-US"/>
        </w:rPr>
      </w:pPr>
      <w:bookmarkStart w:id="99" w:name="bookmark66"/>
      <w:r w:rsidRPr="00192F18">
        <w:rPr>
          <w:rFonts w:ascii="Calibri" w:eastAsia="Calibri" w:hAnsi="Calibri" w:cs="Calibri"/>
          <w:color w:val="000000"/>
          <w:sz w:val="24"/>
          <w:szCs w:val="24"/>
          <w:lang w:bidi="en-US"/>
        </w:rPr>
        <w:t>Waivers</w:t>
      </w:r>
      <w:bookmarkEnd w:id="99"/>
    </w:p>
    <w:p w14:paraId="35F41223" w14:textId="77777777" w:rsidR="00192F18" w:rsidRPr="00192F18" w:rsidRDefault="00192F18" w:rsidP="00192F18">
      <w:pPr>
        <w:widowControl w:val="0"/>
        <w:spacing w:after="14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The failure by any Party to exercise, or the delay by any Party in exercising any right, power, privilege or remedy provided under this Agreement shall not constitute a waiver of the right, power, privilege or remedy.</w:t>
      </w:r>
    </w:p>
    <w:p w14:paraId="6F689C1C" w14:textId="77777777" w:rsidR="00192F18" w:rsidRPr="00192F18" w:rsidRDefault="00192F18" w:rsidP="00192F18">
      <w:pPr>
        <w:widowControl w:val="0"/>
        <w:spacing w:after="140" w:line="257"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This Agreement has been signed in </w:t>
      </w:r>
      <w:r w:rsidRPr="00192F18">
        <w:rPr>
          <w:rFonts w:ascii="Calibri" w:eastAsia="Calibri" w:hAnsi="Calibri" w:cs="Calibri"/>
          <w:i/>
          <w:iCs/>
          <w:color w:val="000000"/>
          <w:sz w:val="24"/>
          <w:szCs w:val="24"/>
          <w:lang w:bidi="en-US"/>
        </w:rPr>
        <w:t>two (2)</w:t>
      </w:r>
      <w:r w:rsidRPr="00192F18">
        <w:rPr>
          <w:rFonts w:ascii="Calibri" w:eastAsia="Calibri" w:hAnsi="Calibri" w:cs="Calibri"/>
          <w:color w:val="000000"/>
          <w:sz w:val="24"/>
          <w:szCs w:val="24"/>
          <w:lang w:bidi="en-US"/>
        </w:rPr>
        <w:t xml:space="preserve"> original counterparts, each Party acknowledging receipt of its counterpart.</w:t>
      </w:r>
    </w:p>
    <w:p w14:paraId="1B39BE62" w14:textId="77777777" w:rsidR="00192F18" w:rsidRPr="00192F18" w:rsidRDefault="00192F18" w:rsidP="00192F18">
      <w:pPr>
        <w:widowControl w:val="0"/>
        <w:spacing w:after="0" w:line="254" w:lineRule="auto"/>
        <w:jc w:val="both"/>
        <w:rPr>
          <w:rFonts w:ascii="Calibri" w:eastAsia="Calibri" w:hAnsi="Calibri" w:cs="Calibri"/>
          <w:color w:val="000000"/>
          <w:sz w:val="24"/>
          <w:szCs w:val="24"/>
          <w:lang w:bidi="en-US"/>
        </w:rPr>
      </w:pPr>
      <w:r w:rsidRPr="00192F18">
        <w:rPr>
          <w:rFonts w:ascii="Calibri" w:eastAsia="Calibri" w:hAnsi="Calibri" w:cs="Calibri"/>
          <w:b/>
          <w:bCs/>
          <w:color w:val="000000"/>
          <w:sz w:val="24"/>
          <w:szCs w:val="24"/>
          <w:lang w:bidi="en-US"/>
        </w:rPr>
        <w:t xml:space="preserve">Signed for </w:t>
      </w:r>
      <w:r w:rsidRPr="00192F18">
        <w:rPr>
          <w:rFonts w:ascii="Calibri" w:eastAsia="Calibri" w:hAnsi="Calibri" w:cs="Calibri"/>
          <w:color w:val="000000"/>
          <w:sz w:val="24"/>
          <w:szCs w:val="24"/>
          <w:lang w:bidi="en-US"/>
        </w:rPr>
        <w:t>DESFA</w:t>
      </w:r>
    </w:p>
    <w:p w14:paraId="114971C6" w14:textId="77777777" w:rsidR="00192F18" w:rsidRPr="00192F18" w:rsidRDefault="00192F18" w:rsidP="00192F18">
      <w:pPr>
        <w:widowControl w:val="0"/>
        <w:spacing w:after="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By:</w:t>
      </w:r>
    </w:p>
    <w:p w14:paraId="499E66EF" w14:textId="77777777" w:rsidR="00192F18" w:rsidRPr="00192F18" w:rsidRDefault="00192F18" w:rsidP="00192F18">
      <w:pPr>
        <w:widowControl w:val="0"/>
        <w:spacing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Title:</w:t>
      </w:r>
    </w:p>
    <w:p w14:paraId="5CDFCCE4" w14:textId="77777777" w:rsidR="00192F18" w:rsidRPr="00192F18" w:rsidRDefault="00192F18" w:rsidP="00192F18">
      <w:pPr>
        <w:widowControl w:val="0"/>
        <w:spacing w:after="0" w:line="254" w:lineRule="auto"/>
        <w:jc w:val="both"/>
        <w:rPr>
          <w:rFonts w:ascii="Calibri" w:eastAsia="Calibri" w:hAnsi="Calibri" w:cs="Calibri"/>
          <w:color w:val="000000"/>
          <w:sz w:val="24"/>
          <w:szCs w:val="24"/>
          <w:lang w:bidi="en-US"/>
        </w:rPr>
      </w:pPr>
      <w:r w:rsidRPr="00192F18">
        <w:rPr>
          <w:rFonts w:ascii="Calibri" w:eastAsia="Calibri" w:hAnsi="Calibri" w:cs="Calibri"/>
          <w:b/>
          <w:bCs/>
          <w:color w:val="000000"/>
          <w:sz w:val="24"/>
          <w:szCs w:val="24"/>
          <w:lang w:bidi="en-US"/>
        </w:rPr>
        <w:t xml:space="preserve">Signed for </w:t>
      </w:r>
      <w:r w:rsidRPr="00192F18">
        <w:rPr>
          <w:rFonts w:ascii="Calibri" w:eastAsia="Calibri" w:hAnsi="Calibri" w:cs="Calibri"/>
          <w:i/>
          <w:iCs/>
          <w:color w:val="000000"/>
          <w:sz w:val="24"/>
          <w:szCs w:val="24"/>
          <w:lang w:bidi="en-US"/>
        </w:rPr>
        <w:t>[name of the Company]</w:t>
      </w:r>
    </w:p>
    <w:p w14:paraId="10C44084" w14:textId="77777777" w:rsidR="00192F18" w:rsidRPr="00192F18" w:rsidRDefault="00192F18" w:rsidP="00192F18">
      <w:pPr>
        <w:widowControl w:val="0"/>
        <w:spacing w:after="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By:</w:t>
      </w:r>
    </w:p>
    <w:p w14:paraId="53EBBAD4" w14:textId="77777777" w:rsidR="00192F18" w:rsidRPr="00192F18" w:rsidRDefault="00192F18" w:rsidP="00192F18">
      <w:pPr>
        <w:widowControl w:val="0"/>
        <w:spacing w:after="0" w:line="254" w:lineRule="auto"/>
        <w:jc w:val="both"/>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Title:</w:t>
      </w:r>
      <w:r w:rsidRPr="00192F18">
        <w:rPr>
          <w:rFonts w:ascii="Calibri" w:eastAsia="Calibri" w:hAnsi="Calibri" w:cs="Calibri"/>
          <w:color w:val="000000"/>
          <w:sz w:val="24"/>
          <w:szCs w:val="24"/>
          <w:lang w:bidi="en-US"/>
        </w:rPr>
        <w:br w:type="page"/>
      </w:r>
    </w:p>
    <w:p w14:paraId="156B3DAC" w14:textId="77777777" w:rsidR="00192F18" w:rsidRPr="00192F18" w:rsidRDefault="00192F18" w:rsidP="00192F18">
      <w:pPr>
        <w:keepNext/>
        <w:keepLines/>
        <w:widowControl w:val="0"/>
        <w:spacing w:after="100" w:line="240" w:lineRule="auto"/>
        <w:jc w:val="center"/>
        <w:outlineLvl w:val="3"/>
        <w:rPr>
          <w:rFonts w:ascii="Calibri" w:eastAsia="Calibri" w:hAnsi="Calibri" w:cs="Calibri"/>
          <w:b/>
          <w:bCs/>
          <w:color w:val="000000"/>
          <w:sz w:val="24"/>
          <w:szCs w:val="24"/>
          <w:lang w:bidi="en-US"/>
        </w:rPr>
      </w:pPr>
      <w:bookmarkStart w:id="100" w:name="bookmark68"/>
      <w:r w:rsidRPr="00192F18">
        <w:rPr>
          <w:rFonts w:ascii="Calibri" w:eastAsia="Calibri" w:hAnsi="Calibri" w:cs="Calibri"/>
          <w:b/>
          <w:bCs/>
          <w:color w:val="000000"/>
          <w:sz w:val="24"/>
          <w:szCs w:val="24"/>
          <w:lang w:bidi="en-US"/>
        </w:rPr>
        <w:lastRenderedPageBreak/>
        <w:t>ANNEX I</w:t>
      </w:r>
      <w:bookmarkEnd w:id="100"/>
    </w:p>
    <w:p w14:paraId="4E299D1D" w14:textId="77777777" w:rsidR="00192F18" w:rsidRPr="00192F18" w:rsidRDefault="00192F18" w:rsidP="00192F18">
      <w:pPr>
        <w:widowControl w:val="0"/>
        <w:spacing w:line="252" w:lineRule="auto"/>
        <w:jc w:val="center"/>
        <w:rPr>
          <w:rFonts w:ascii="Calibri" w:eastAsia="Calibri" w:hAnsi="Calibri" w:cs="Calibri"/>
          <w:color w:val="000000"/>
          <w:sz w:val="24"/>
          <w:szCs w:val="24"/>
          <w:lang w:bidi="en-US"/>
        </w:rPr>
      </w:pPr>
      <w:r w:rsidRPr="00192F18">
        <w:rPr>
          <w:rFonts w:ascii="Calibri" w:eastAsia="Calibri" w:hAnsi="Calibri" w:cs="Calibri"/>
          <w:b/>
          <w:bCs/>
          <w:color w:val="000000"/>
          <w:sz w:val="24"/>
          <w:szCs w:val="24"/>
          <w:lang w:bidi="en-US"/>
        </w:rPr>
        <w:t>Transportation Confirmation for the Allocated Capacity at the Interconnection Point</w:t>
      </w:r>
      <w:r w:rsidRPr="00192F18">
        <w:rPr>
          <w:rFonts w:ascii="Calibri" w:eastAsia="Calibri" w:hAnsi="Calibri" w:cs="Calibri"/>
          <w:b/>
          <w:bCs/>
          <w:color w:val="000000"/>
          <w:sz w:val="24"/>
          <w:szCs w:val="24"/>
          <w:lang w:bidi="en-US"/>
        </w:rPr>
        <w:br/>
      </w:r>
      <w:proofErr w:type="spellStart"/>
      <w:r w:rsidRPr="00192F18">
        <w:rPr>
          <w:rFonts w:ascii="Calibri" w:eastAsia="Calibri" w:hAnsi="Calibri" w:cs="Calibri"/>
          <w:b/>
          <w:bCs/>
          <w:color w:val="000000"/>
          <w:sz w:val="24"/>
          <w:szCs w:val="24"/>
          <w:lang w:bidi="en-US"/>
        </w:rPr>
        <w:t>Nea</w:t>
      </w:r>
      <w:proofErr w:type="spellEnd"/>
      <w:r w:rsidRPr="00192F18">
        <w:rPr>
          <w:rFonts w:ascii="Calibri" w:eastAsia="Calibri" w:hAnsi="Calibri" w:cs="Calibri"/>
          <w:b/>
          <w:bCs/>
          <w:color w:val="000000"/>
          <w:sz w:val="24"/>
          <w:szCs w:val="24"/>
          <w:lang w:bidi="en-US"/>
        </w:rPr>
        <w:t xml:space="preserve"> Mesimvria according to the Project Proposal, Section A.2.DESFA, for</w:t>
      </w:r>
    </w:p>
    <w:p w14:paraId="2D7D5321" w14:textId="77777777" w:rsidR="00192F18" w:rsidRPr="00192F18" w:rsidRDefault="00192F18" w:rsidP="00192F18">
      <w:pPr>
        <w:widowControl w:val="0"/>
        <w:spacing w:after="620" w:line="257" w:lineRule="auto"/>
        <w:jc w:val="center"/>
        <w:rPr>
          <w:rFonts w:ascii="Calibri" w:eastAsia="Calibri" w:hAnsi="Calibri" w:cs="Calibri"/>
          <w:color w:val="000000"/>
          <w:sz w:val="24"/>
          <w:szCs w:val="24"/>
          <w:lang w:bidi="en-US"/>
        </w:rPr>
      </w:pPr>
      <w:r w:rsidRPr="00192F18">
        <w:rPr>
          <w:rFonts w:ascii="Calibri" w:eastAsia="Calibri" w:hAnsi="Calibri" w:cs="Calibri"/>
          <w:b/>
          <w:bCs/>
          <w:color w:val="000000"/>
          <w:sz w:val="24"/>
          <w:szCs w:val="24"/>
          <w:lang w:bidi="en-US"/>
        </w:rPr>
        <w:t>[choose between (</w:t>
      </w:r>
      <w:proofErr w:type="spellStart"/>
      <w:r w:rsidRPr="00192F18">
        <w:rPr>
          <w:rFonts w:ascii="Calibri" w:eastAsia="Calibri" w:hAnsi="Calibri" w:cs="Calibri"/>
          <w:b/>
          <w:bCs/>
          <w:color w:val="000000"/>
          <w:sz w:val="24"/>
          <w:szCs w:val="24"/>
          <w:lang w:bidi="en-US"/>
        </w:rPr>
        <w:t>i</w:t>
      </w:r>
      <w:proofErr w:type="spellEnd"/>
      <w:r w:rsidRPr="00192F18">
        <w:rPr>
          <w:rFonts w:ascii="Calibri" w:eastAsia="Calibri" w:hAnsi="Calibri" w:cs="Calibri"/>
          <w:b/>
          <w:bCs/>
          <w:color w:val="000000"/>
          <w:sz w:val="24"/>
          <w:szCs w:val="24"/>
          <w:lang w:bidi="en-US"/>
        </w:rPr>
        <w:t>) and (ii) as appropriate and delete the remaining case: (</w:t>
      </w:r>
      <w:proofErr w:type="spellStart"/>
      <w:r w:rsidRPr="00192F18">
        <w:rPr>
          <w:rFonts w:ascii="Calibri" w:eastAsia="Calibri" w:hAnsi="Calibri" w:cs="Calibri"/>
          <w:b/>
          <w:bCs/>
          <w:color w:val="000000"/>
          <w:sz w:val="24"/>
          <w:szCs w:val="24"/>
          <w:lang w:bidi="en-US"/>
        </w:rPr>
        <w:t>i</w:t>
      </w:r>
      <w:proofErr w:type="spellEnd"/>
      <w:r w:rsidRPr="00192F18">
        <w:rPr>
          <w:rFonts w:ascii="Calibri" w:eastAsia="Calibri" w:hAnsi="Calibri" w:cs="Calibri"/>
          <w:b/>
          <w:bCs/>
          <w:color w:val="000000"/>
          <w:sz w:val="24"/>
          <w:szCs w:val="24"/>
          <w:lang w:bidi="en-US"/>
        </w:rPr>
        <w:t>) “Exit</w:t>
      </w:r>
      <w:r w:rsidRPr="00192F18">
        <w:rPr>
          <w:rFonts w:ascii="Calibri" w:eastAsia="Calibri" w:hAnsi="Calibri" w:cs="Calibri"/>
          <w:b/>
          <w:bCs/>
          <w:color w:val="000000"/>
          <w:sz w:val="24"/>
          <w:szCs w:val="24"/>
          <w:lang w:bidi="en-US"/>
        </w:rPr>
        <w:br/>
        <w:t xml:space="preserve">capacity at </w:t>
      </w:r>
      <w:proofErr w:type="spellStart"/>
      <w:r w:rsidRPr="00192F18">
        <w:rPr>
          <w:rFonts w:ascii="Calibri" w:eastAsia="Calibri" w:hAnsi="Calibri" w:cs="Calibri"/>
          <w:b/>
          <w:bCs/>
          <w:color w:val="000000"/>
          <w:sz w:val="24"/>
          <w:szCs w:val="24"/>
          <w:lang w:bidi="en-US"/>
        </w:rPr>
        <w:t>Nea</w:t>
      </w:r>
      <w:proofErr w:type="spellEnd"/>
      <w:r w:rsidRPr="00192F18">
        <w:rPr>
          <w:rFonts w:ascii="Calibri" w:eastAsia="Calibri" w:hAnsi="Calibri" w:cs="Calibri"/>
          <w:b/>
          <w:bCs/>
          <w:color w:val="000000"/>
          <w:sz w:val="24"/>
          <w:szCs w:val="24"/>
          <w:lang w:bidi="en-US"/>
        </w:rPr>
        <w:t xml:space="preserve"> Mesimvria” or (ii) “Entry capacity at </w:t>
      </w:r>
      <w:proofErr w:type="spellStart"/>
      <w:r w:rsidRPr="00192F18">
        <w:rPr>
          <w:rFonts w:ascii="Calibri" w:eastAsia="Calibri" w:hAnsi="Calibri" w:cs="Calibri"/>
          <w:b/>
          <w:bCs/>
          <w:color w:val="000000"/>
          <w:sz w:val="24"/>
          <w:szCs w:val="24"/>
          <w:lang w:bidi="en-US"/>
        </w:rPr>
        <w:t>Nea</w:t>
      </w:r>
      <w:proofErr w:type="spellEnd"/>
      <w:r w:rsidRPr="00192F18">
        <w:rPr>
          <w:rFonts w:ascii="Calibri" w:eastAsia="Calibri" w:hAnsi="Calibri" w:cs="Calibri"/>
          <w:b/>
          <w:bCs/>
          <w:color w:val="000000"/>
          <w:sz w:val="24"/>
          <w:szCs w:val="24"/>
          <w:lang w:bidi="en-US"/>
        </w:rPr>
        <w:t xml:space="preserve"> Mesimvria”]</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18"/>
        <w:gridCol w:w="3984"/>
      </w:tblGrid>
      <w:tr w:rsidR="00192F18" w:rsidRPr="00192F18" w14:paraId="15A1B4C1" w14:textId="77777777" w:rsidTr="00752AC0">
        <w:trPr>
          <w:trHeight w:hRule="exact" w:val="811"/>
          <w:jc w:val="center"/>
        </w:trPr>
        <w:tc>
          <w:tcPr>
            <w:tcW w:w="1618" w:type="dxa"/>
            <w:tcBorders>
              <w:top w:val="single" w:sz="4" w:space="0" w:color="auto"/>
              <w:left w:val="single" w:sz="4" w:space="0" w:color="auto"/>
            </w:tcBorders>
            <w:shd w:val="clear" w:color="auto" w:fill="auto"/>
          </w:tcPr>
          <w:p w14:paraId="3BEADA8D" w14:textId="77777777" w:rsidR="00192F18" w:rsidRPr="00192F18" w:rsidRDefault="00192F18" w:rsidP="00192F18">
            <w:pPr>
              <w:widowControl w:val="0"/>
              <w:spacing w:after="0" w:line="240" w:lineRule="auto"/>
              <w:jc w:val="center"/>
              <w:rPr>
                <w:rFonts w:ascii="Calibri" w:eastAsia="Calibri" w:hAnsi="Calibri" w:cs="Calibri"/>
                <w:color w:val="000000"/>
                <w:sz w:val="24"/>
                <w:szCs w:val="24"/>
                <w:lang w:val="el-GR" w:eastAsia="el-GR" w:bidi="el-GR"/>
              </w:rPr>
            </w:pPr>
            <w:r w:rsidRPr="00192F18">
              <w:rPr>
                <w:rFonts w:ascii="Calibri" w:eastAsia="Calibri" w:hAnsi="Calibri" w:cs="Calibri"/>
                <w:b/>
                <w:bCs/>
                <w:color w:val="000000"/>
                <w:sz w:val="24"/>
                <w:szCs w:val="24"/>
                <w:lang w:bidi="en-US"/>
              </w:rPr>
              <w:t>Gas Year</w:t>
            </w:r>
          </w:p>
        </w:tc>
        <w:tc>
          <w:tcPr>
            <w:tcW w:w="3984" w:type="dxa"/>
            <w:tcBorders>
              <w:top w:val="single" w:sz="4" w:space="0" w:color="auto"/>
              <w:left w:val="single" w:sz="4" w:space="0" w:color="auto"/>
              <w:right w:val="single" w:sz="4" w:space="0" w:color="auto"/>
            </w:tcBorders>
            <w:shd w:val="clear" w:color="auto" w:fill="auto"/>
            <w:vAlign w:val="center"/>
          </w:tcPr>
          <w:p w14:paraId="3BCF2A97" w14:textId="77777777" w:rsidR="00192F18" w:rsidRPr="00192F18" w:rsidRDefault="00192F18" w:rsidP="00192F18">
            <w:pPr>
              <w:widowControl w:val="0"/>
              <w:spacing w:after="0" w:line="317" w:lineRule="auto"/>
              <w:jc w:val="center"/>
              <w:rPr>
                <w:rFonts w:ascii="Calibri" w:eastAsia="Calibri" w:hAnsi="Calibri" w:cs="Calibri"/>
                <w:color w:val="000000"/>
                <w:sz w:val="24"/>
                <w:szCs w:val="24"/>
                <w:lang w:eastAsia="el-GR" w:bidi="el-GR"/>
              </w:rPr>
            </w:pPr>
            <w:r w:rsidRPr="00192F18">
              <w:rPr>
                <w:rFonts w:ascii="Calibri" w:eastAsia="Calibri" w:hAnsi="Calibri" w:cs="Calibri"/>
                <w:b/>
                <w:bCs/>
                <w:color w:val="000000"/>
                <w:sz w:val="24"/>
                <w:szCs w:val="24"/>
                <w:lang w:bidi="en-US"/>
              </w:rPr>
              <w:t>Capacity (kWh / Gas Day / Year)</w:t>
            </w:r>
          </w:p>
        </w:tc>
      </w:tr>
      <w:tr w:rsidR="00192F18" w:rsidRPr="00192F18" w14:paraId="1EDDC5A9" w14:textId="77777777" w:rsidTr="00752AC0">
        <w:trPr>
          <w:trHeight w:hRule="exact" w:val="346"/>
          <w:jc w:val="center"/>
        </w:trPr>
        <w:tc>
          <w:tcPr>
            <w:tcW w:w="1618" w:type="dxa"/>
            <w:tcBorders>
              <w:top w:val="single" w:sz="4" w:space="0" w:color="auto"/>
              <w:left w:val="single" w:sz="4" w:space="0" w:color="auto"/>
            </w:tcBorders>
            <w:shd w:val="clear" w:color="auto" w:fill="auto"/>
          </w:tcPr>
          <w:p w14:paraId="77A0180B" w14:textId="77777777" w:rsidR="00192F18" w:rsidRPr="00192F18" w:rsidRDefault="00192F18" w:rsidP="00192F18">
            <w:pPr>
              <w:widowControl w:val="0"/>
              <w:spacing w:after="0" w:line="240" w:lineRule="auto"/>
              <w:rPr>
                <w:rFonts w:ascii="Courier New" w:eastAsia="Courier New" w:hAnsi="Courier New" w:cs="Courier New"/>
                <w:color w:val="000000"/>
                <w:sz w:val="10"/>
                <w:szCs w:val="10"/>
                <w:lang w:bidi="en-US"/>
              </w:rPr>
            </w:pPr>
          </w:p>
        </w:tc>
        <w:tc>
          <w:tcPr>
            <w:tcW w:w="3984" w:type="dxa"/>
            <w:tcBorders>
              <w:top w:val="single" w:sz="4" w:space="0" w:color="auto"/>
              <w:left w:val="single" w:sz="4" w:space="0" w:color="auto"/>
              <w:right w:val="single" w:sz="4" w:space="0" w:color="auto"/>
            </w:tcBorders>
            <w:shd w:val="clear" w:color="auto" w:fill="auto"/>
          </w:tcPr>
          <w:p w14:paraId="53C74638" w14:textId="77777777" w:rsidR="00192F18" w:rsidRPr="00192F18" w:rsidRDefault="00192F18" w:rsidP="00192F18">
            <w:pPr>
              <w:widowControl w:val="0"/>
              <w:spacing w:after="0" w:line="240" w:lineRule="auto"/>
              <w:rPr>
                <w:rFonts w:ascii="Courier New" w:eastAsia="Courier New" w:hAnsi="Courier New" w:cs="Courier New"/>
                <w:color w:val="000000"/>
                <w:sz w:val="10"/>
                <w:szCs w:val="10"/>
                <w:lang w:bidi="en-US"/>
              </w:rPr>
            </w:pPr>
          </w:p>
        </w:tc>
      </w:tr>
      <w:tr w:rsidR="00192F18" w:rsidRPr="00192F18" w14:paraId="1F1DD576" w14:textId="77777777" w:rsidTr="00752AC0">
        <w:trPr>
          <w:trHeight w:hRule="exact" w:val="346"/>
          <w:jc w:val="center"/>
        </w:trPr>
        <w:tc>
          <w:tcPr>
            <w:tcW w:w="1618" w:type="dxa"/>
            <w:tcBorders>
              <w:top w:val="single" w:sz="4" w:space="0" w:color="auto"/>
              <w:left w:val="single" w:sz="4" w:space="0" w:color="auto"/>
            </w:tcBorders>
            <w:shd w:val="clear" w:color="auto" w:fill="auto"/>
          </w:tcPr>
          <w:p w14:paraId="3CF4ACC7" w14:textId="77777777" w:rsidR="00192F18" w:rsidRPr="00192F18" w:rsidRDefault="00192F18" w:rsidP="00192F18">
            <w:pPr>
              <w:widowControl w:val="0"/>
              <w:spacing w:after="0" w:line="240" w:lineRule="auto"/>
              <w:rPr>
                <w:rFonts w:ascii="Courier New" w:eastAsia="Courier New" w:hAnsi="Courier New" w:cs="Courier New"/>
                <w:color w:val="000000"/>
                <w:sz w:val="10"/>
                <w:szCs w:val="10"/>
                <w:lang w:bidi="en-US"/>
              </w:rPr>
            </w:pPr>
          </w:p>
        </w:tc>
        <w:tc>
          <w:tcPr>
            <w:tcW w:w="3984" w:type="dxa"/>
            <w:tcBorders>
              <w:top w:val="single" w:sz="4" w:space="0" w:color="auto"/>
              <w:left w:val="single" w:sz="4" w:space="0" w:color="auto"/>
              <w:right w:val="single" w:sz="4" w:space="0" w:color="auto"/>
            </w:tcBorders>
            <w:shd w:val="clear" w:color="auto" w:fill="auto"/>
          </w:tcPr>
          <w:p w14:paraId="1195139B" w14:textId="77777777" w:rsidR="00192F18" w:rsidRPr="00192F18" w:rsidRDefault="00192F18" w:rsidP="00192F18">
            <w:pPr>
              <w:widowControl w:val="0"/>
              <w:spacing w:after="0" w:line="240" w:lineRule="auto"/>
              <w:rPr>
                <w:rFonts w:ascii="Courier New" w:eastAsia="Courier New" w:hAnsi="Courier New" w:cs="Courier New"/>
                <w:color w:val="000000"/>
                <w:sz w:val="10"/>
                <w:szCs w:val="10"/>
                <w:lang w:bidi="en-US"/>
              </w:rPr>
            </w:pPr>
          </w:p>
        </w:tc>
      </w:tr>
      <w:tr w:rsidR="00192F18" w:rsidRPr="00192F18" w14:paraId="2B593D5A" w14:textId="77777777" w:rsidTr="00752AC0">
        <w:trPr>
          <w:trHeight w:hRule="exact" w:val="350"/>
          <w:jc w:val="center"/>
        </w:trPr>
        <w:tc>
          <w:tcPr>
            <w:tcW w:w="1618" w:type="dxa"/>
            <w:tcBorders>
              <w:top w:val="single" w:sz="4" w:space="0" w:color="auto"/>
              <w:left w:val="single" w:sz="4" w:space="0" w:color="auto"/>
            </w:tcBorders>
            <w:shd w:val="clear" w:color="auto" w:fill="auto"/>
          </w:tcPr>
          <w:p w14:paraId="5692D387" w14:textId="77777777" w:rsidR="00192F18" w:rsidRPr="00192F18" w:rsidRDefault="00192F18" w:rsidP="00192F18">
            <w:pPr>
              <w:widowControl w:val="0"/>
              <w:spacing w:after="0" w:line="240" w:lineRule="auto"/>
              <w:rPr>
                <w:rFonts w:ascii="Courier New" w:eastAsia="Courier New" w:hAnsi="Courier New" w:cs="Courier New"/>
                <w:color w:val="000000"/>
                <w:sz w:val="10"/>
                <w:szCs w:val="10"/>
                <w:lang w:bidi="en-US"/>
              </w:rPr>
            </w:pPr>
          </w:p>
        </w:tc>
        <w:tc>
          <w:tcPr>
            <w:tcW w:w="3984" w:type="dxa"/>
            <w:tcBorders>
              <w:top w:val="single" w:sz="4" w:space="0" w:color="auto"/>
              <w:left w:val="single" w:sz="4" w:space="0" w:color="auto"/>
              <w:right w:val="single" w:sz="4" w:space="0" w:color="auto"/>
            </w:tcBorders>
            <w:shd w:val="clear" w:color="auto" w:fill="auto"/>
          </w:tcPr>
          <w:p w14:paraId="59C9BCB4" w14:textId="77777777" w:rsidR="00192F18" w:rsidRPr="00192F18" w:rsidRDefault="00192F18" w:rsidP="00192F18">
            <w:pPr>
              <w:widowControl w:val="0"/>
              <w:spacing w:after="0" w:line="240" w:lineRule="auto"/>
              <w:rPr>
                <w:rFonts w:ascii="Courier New" w:eastAsia="Courier New" w:hAnsi="Courier New" w:cs="Courier New"/>
                <w:color w:val="000000"/>
                <w:sz w:val="10"/>
                <w:szCs w:val="10"/>
                <w:lang w:bidi="en-US"/>
              </w:rPr>
            </w:pPr>
          </w:p>
        </w:tc>
      </w:tr>
      <w:tr w:rsidR="00192F18" w:rsidRPr="00192F18" w14:paraId="7EC7E143" w14:textId="77777777" w:rsidTr="00752AC0">
        <w:trPr>
          <w:trHeight w:hRule="exact" w:val="346"/>
          <w:jc w:val="center"/>
        </w:trPr>
        <w:tc>
          <w:tcPr>
            <w:tcW w:w="1618" w:type="dxa"/>
            <w:tcBorders>
              <w:top w:val="single" w:sz="4" w:space="0" w:color="auto"/>
              <w:left w:val="single" w:sz="4" w:space="0" w:color="auto"/>
            </w:tcBorders>
            <w:shd w:val="clear" w:color="auto" w:fill="auto"/>
          </w:tcPr>
          <w:p w14:paraId="1993781E" w14:textId="77777777" w:rsidR="00192F18" w:rsidRPr="00192F18" w:rsidRDefault="00192F18" w:rsidP="00192F18">
            <w:pPr>
              <w:widowControl w:val="0"/>
              <w:spacing w:after="0" w:line="240" w:lineRule="auto"/>
              <w:rPr>
                <w:rFonts w:ascii="Courier New" w:eastAsia="Courier New" w:hAnsi="Courier New" w:cs="Courier New"/>
                <w:color w:val="000000"/>
                <w:sz w:val="10"/>
                <w:szCs w:val="10"/>
                <w:lang w:bidi="en-US"/>
              </w:rPr>
            </w:pPr>
          </w:p>
        </w:tc>
        <w:tc>
          <w:tcPr>
            <w:tcW w:w="3984" w:type="dxa"/>
            <w:tcBorders>
              <w:top w:val="single" w:sz="4" w:space="0" w:color="auto"/>
              <w:left w:val="single" w:sz="4" w:space="0" w:color="auto"/>
              <w:right w:val="single" w:sz="4" w:space="0" w:color="auto"/>
            </w:tcBorders>
            <w:shd w:val="clear" w:color="auto" w:fill="auto"/>
          </w:tcPr>
          <w:p w14:paraId="4973E93F" w14:textId="77777777" w:rsidR="00192F18" w:rsidRPr="00192F18" w:rsidRDefault="00192F18" w:rsidP="00192F18">
            <w:pPr>
              <w:widowControl w:val="0"/>
              <w:spacing w:after="0" w:line="240" w:lineRule="auto"/>
              <w:rPr>
                <w:rFonts w:ascii="Courier New" w:eastAsia="Courier New" w:hAnsi="Courier New" w:cs="Courier New"/>
                <w:color w:val="000000"/>
                <w:sz w:val="10"/>
                <w:szCs w:val="10"/>
                <w:lang w:bidi="en-US"/>
              </w:rPr>
            </w:pPr>
          </w:p>
        </w:tc>
      </w:tr>
      <w:tr w:rsidR="00192F18" w:rsidRPr="00192F18" w14:paraId="5526A2F8" w14:textId="77777777" w:rsidTr="00752AC0">
        <w:trPr>
          <w:trHeight w:hRule="exact" w:val="346"/>
          <w:jc w:val="center"/>
        </w:trPr>
        <w:tc>
          <w:tcPr>
            <w:tcW w:w="1618" w:type="dxa"/>
            <w:tcBorders>
              <w:top w:val="single" w:sz="4" w:space="0" w:color="auto"/>
              <w:left w:val="single" w:sz="4" w:space="0" w:color="auto"/>
            </w:tcBorders>
            <w:shd w:val="clear" w:color="auto" w:fill="auto"/>
          </w:tcPr>
          <w:p w14:paraId="5519BD33" w14:textId="77777777" w:rsidR="00192F18" w:rsidRPr="00192F18" w:rsidRDefault="00192F18" w:rsidP="00192F18">
            <w:pPr>
              <w:widowControl w:val="0"/>
              <w:spacing w:after="0" w:line="240" w:lineRule="auto"/>
              <w:rPr>
                <w:rFonts w:ascii="Courier New" w:eastAsia="Courier New" w:hAnsi="Courier New" w:cs="Courier New"/>
                <w:color w:val="000000"/>
                <w:sz w:val="10"/>
                <w:szCs w:val="10"/>
                <w:lang w:bidi="en-US"/>
              </w:rPr>
            </w:pPr>
          </w:p>
        </w:tc>
        <w:tc>
          <w:tcPr>
            <w:tcW w:w="3984" w:type="dxa"/>
            <w:tcBorders>
              <w:top w:val="single" w:sz="4" w:space="0" w:color="auto"/>
              <w:left w:val="single" w:sz="4" w:space="0" w:color="auto"/>
              <w:right w:val="single" w:sz="4" w:space="0" w:color="auto"/>
            </w:tcBorders>
            <w:shd w:val="clear" w:color="auto" w:fill="auto"/>
          </w:tcPr>
          <w:p w14:paraId="577C4317" w14:textId="77777777" w:rsidR="00192F18" w:rsidRPr="00192F18" w:rsidRDefault="00192F18" w:rsidP="00192F18">
            <w:pPr>
              <w:widowControl w:val="0"/>
              <w:spacing w:after="0" w:line="240" w:lineRule="auto"/>
              <w:rPr>
                <w:rFonts w:ascii="Courier New" w:eastAsia="Courier New" w:hAnsi="Courier New" w:cs="Courier New"/>
                <w:color w:val="000000"/>
                <w:sz w:val="10"/>
                <w:szCs w:val="10"/>
                <w:lang w:bidi="en-US"/>
              </w:rPr>
            </w:pPr>
          </w:p>
        </w:tc>
      </w:tr>
      <w:tr w:rsidR="00192F18" w:rsidRPr="00192F18" w14:paraId="7FBE8AF7" w14:textId="77777777" w:rsidTr="00752AC0">
        <w:trPr>
          <w:trHeight w:hRule="exact" w:val="350"/>
          <w:jc w:val="center"/>
        </w:trPr>
        <w:tc>
          <w:tcPr>
            <w:tcW w:w="1618" w:type="dxa"/>
            <w:tcBorders>
              <w:top w:val="single" w:sz="4" w:space="0" w:color="auto"/>
              <w:left w:val="single" w:sz="4" w:space="0" w:color="auto"/>
            </w:tcBorders>
            <w:shd w:val="clear" w:color="auto" w:fill="auto"/>
          </w:tcPr>
          <w:p w14:paraId="4646E739" w14:textId="77777777" w:rsidR="00192F18" w:rsidRPr="00192F18" w:rsidRDefault="00192F18" w:rsidP="00192F18">
            <w:pPr>
              <w:widowControl w:val="0"/>
              <w:spacing w:after="0" w:line="240" w:lineRule="auto"/>
              <w:rPr>
                <w:rFonts w:ascii="Courier New" w:eastAsia="Courier New" w:hAnsi="Courier New" w:cs="Courier New"/>
                <w:color w:val="000000"/>
                <w:sz w:val="10"/>
                <w:szCs w:val="10"/>
                <w:lang w:bidi="en-US"/>
              </w:rPr>
            </w:pPr>
          </w:p>
        </w:tc>
        <w:tc>
          <w:tcPr>
            <w:tcW w:w="3984" w:type="dxa"/>
            <w:tcBorders>
              <w:top w:val="single" w:sz="4" w:space="0" w:color="auto"/>
              <w:left w:val="single" w:sz="4" w:space="0" w:color="auto"/>
              <w:right w:val="single" w:sz="4" w:space="0" w:color="auto"/>
            </w:tcBorders>
            <w:shd w:val="clear" w:color="auto" w:fill="auto"/>
          </w:tcPr>
          <w:p w14:paraId="29215B76" w14:textId="77777777" w:rsidR="00192F18" w:rsidRPr="00192F18" w:rsidRDefault="00192F18" w:rsidP="00192F18">
            <w:pPr>
              <w:widowControl w:val="0"/>
              <w:spacing w:after="0" w:line="240" w:lineRule="auto"/>
              <w:rPr>
                <w:rFonts w:ascii="Courier New" w:eastAsia="Courier New" w:hAnsi="Courier New" w:cs="Courier New"/>
                <w:color w:val="000000"/>
                <w:sz w:val="10"/>
                <w:szCs w:val="10"/>
                <w:lang w:bidi="en-US"/>
              </w:rPr>
            </w:pPr>
          </w:p>
        </w:tc>
      </w:tr>
      <w:tr w:rsidR="00192F18" w:rsidRPr="00192F18" w14:paraId="10ED57AB" w14:textId="77777777" w:rsidTr="00752AC0">
        <w:trPr>
          <w:trHeight w:hRule="exact" w:val="346"/>
          <w:jc w:val="center"/>
        </w:trPr>
        <w:tc>
          <w:tcPr>
            <w:tcW w:w="1618" w:type="dxa"/>
            <w:tcBorders>
              <w:top w:val="single" w:sz="4" w:space="0" w:color="auto"/>
              <w:left w:val="single" w:sz="4" w:space="0" w:color="auto"/>
            </w:tcBorders>
            <w:shd w:val="clear" w:color="auto" w:fill="auto"/>
          </w:tcPr>
          <w:p w14:paraId="4BE62269" w14:textId="77777777" w:rsidR="00192F18" w:rsidRPr="00192F18" w:rsidRDefault="00192F18" w:rsidP="00192F18">
            <w:pPr>
              <w:widowControl w:val="0"/>
              <w:spacing w:after="0" w:line="240" w:lineRule="auto"/>
              <w:rPr>
                <w:rFonts w:ascii="Courier New" w:eastAsia="Courier New" w:hAnsi="Courier New" w:cs="Courier New"/>
                <w:color w:val="000000"/>
                <w:sz w:val="10"/>
                <w:szCs w:val="10"/>
                <w:lang w:bidi="en-US"/>
              </w:rPr>
            </w:pPr>
          </w:p>
        </w:tc>
        <w:tc>
          <w:tcPr>
            <w:tcW w:w="3984" w:type="dxa"/>
            <w:tcBorders>
              <w:top w:val="single" w:sz="4" w:space="0" w:color="auto"/>
              <w:left w:val="single" w:sz="4" w:space="0" w:color="auto"/>
              <w:right w:val="single" w:sz="4" w:space="0" w:color="auto"/>
            </w:tcBorders>
            <w:shd w:val="clear" w:color="auto" w:fill="auto"/>
          </w:tcPr>
          <w:p w14:paraId="56C2F993" w14:textId="77777777" w:rsidR="00192F18" w:rsidRPr="00192F18" w:rsidRDefault="00192F18" w:rsidP="00192F18">
            <w:pPr>
              <w:widowControl w:val="0"/>
              <w:spacing w:after="0" w:line="240" w:lineRule="auto"/>
              <w:rPr>
                <w:rFonts w:ascii="Courier New" w:eastAsia="Courier New" w:hAnsi="Courier New" w:cs="Courier New"/>
                <w:color w:val="000000"/>
                <w:sz w:val="10"/>
                <w:szCs w:val="10"/>
                <w:lang w:bidi="en-US"/>
              </w:rPr>
            </w:pPr>
          </w:p>
        </w:tc>
      </w:tr>
      <w:tr w:rsidR="00192F18" w:rsidRPr="00192F18" w14:paraId="51F44EAA" w14:textId="77777777" w:rsidTr="00752AC0">
        <w:trPr>
          <w:trHeight w:hRule="exact" w:val="346"/>
          <w:jc w:val="center"/>
        </w:trPr>
        <w:tc>
          <w:tcPr>
            <w:tcW w:w="1618" w:type="dxa"/>
            <w:tcBorders>
              <w:top w:val="single" w:sz="4" w:space="0" w:color="auto"/>
              <w:left w:val="single" w:sz="4" w:space="0" w:color="auto"/>
            </w:tcBorders>
            <w:shd w:val="clear" w:color="auto" w:fill="auto"/>
          </w:tcPr>
          <w:p w14:paraId="7C48F7BC" w14:textId="77777777" w:rsidR="00192F18" w:rsidRPr="00192F18" w:rsidRDefault="00192F18" w:rsidP="00192F18">
            <w:pPr>
              <w:widowControl w:val="0"/>
              <w:spacing w:after="0" w:line="240" w:lineRule="auto"/>
              <w:rPr>
                <w:rFonts w:ascii="Courier New" w:eastAsia="Courier New" w:hAnsi="Courier New" w:cs="Courier New"/>
                <w:color w:val="000000"/>
                <w:sz w:val="10"/>
                <w:szCs w:val="10"/>
                <w:lang w:bidi="en-US"/>
              </w:rPr>
            </w:pPr>
          </w:p>
        </w:tc>
        <w:tc>
          <w:tcPr>
            <w:tcW w:w="3984" w:type="dxa"/>
            <w:tcBorders>
              <w:top w:val="single" w:sz="4" w:space="0" w:color="auto"/>
              <w:left w:val="single" w:sz="4" w:space="0" w:color="auto"/>
              <w:right w:val="single" w:sz="4" w:space="0" w:color="auto"/>
            </w:tcBorders>
            <w:shd w:val="clear" w:color="auto" w:fill="auto"/>
          </w:tcPr>
          <w:p w14:paraId="1654E57B" w14:textId="77777777" w:rsidR="00192F18" w:rsidRPr="00192F18" w:rsidRDefault="00192F18" w:rsidP="00192F18">
            <w:pPr>
              <w:widowControl w:val="0"/>
              <w:spacing w:after="0" w:line="240" w:lineRule="auto"/>
              <w:rPr>
                <w:rFonts w:ascii="Courier New" w:eastAsia="Courier New" w:hAnsi="Courier New" w:cs="Courier New"/>
                <w:color w:val="000000"/>
                <w:sz w:val="10"/>
                <w:szCs w:val="10"/>
                <w:lang w:bidi="en-US"/>
              </w:rPr>
            </w:pPr>
          </w:p>
        </w:tc>
      </w:tr>
      <w:tr w:rsidR="00192F18" w:rsidRPr="00192F18" w14:paraId="01D3173D" w14:textId="77777777" w:rsidTr="00752AC0">
        <w:trPr>
          <w:trHeight w:hRule="exact" w:val="346"/>
          <w:jc w:val="center"/>
        </w:trPr>
        <w:tc>
          <w:tcPr>
            <w:tcW w:w="1618" w:type="dxa"/>
            <w:tcBorders>
              <w:top w:val="single" w:sz="4" w:space="0" w:color="auto"/>
              <w:left w:val="single" w:sz="4" w:space="0" w:color="auto"/>
            </w:tcBorders>
            <w:shd w:val="clear" w:color="auto" w:fill="auto"/>
          </w:tcPr>
          <w:p w14:paraId="247AA554" w14:textId="77777777" w:rsidR="00192F18" w:rsidRPr="00192F18" w:rsidRDefault="00192F18" w:rsidP="00192F18">
            <w:pPr>
              <w:widowControl w:val="0"/>
              <w:spacing w:after="0" w:line="240" w:lineRule="auto"/>
              <w:rPr>
                <w:rFonts w:ascii="Courier New" w:eastAsia="Courier New" w:hAnsi="Courier New" w:cs="Courier New"/>
                <w:color w:val="000000"/>
                <w:sz w:val="10"/>
                <w:szCs w:val="10"/>
                <w:lang w:bidi="en-US"/>
              </w:rPr>
            </w:pPr>
          </w:p>
        </w:tc>
        <w:tc>
          <w:tcPr>
            <w:tcW w:w="3984" w:type="dxa"/>
            <w:tcBorders>
              <w:top w:val="single" w:sz="4" w:space="0" w:color="auto"/>
              <w:left w:val="single" w:sz="4" w:space="0" w:color="auto"/>
              <w:right w:val="single" w:sz="4" w:space="0" w:color="auto"/>
            </w:tcBorders>
            <w:shd w:val="clear" w:color="auto" w:fill="auto"/>
          </w:tcPr>
          <w:p w14:paraId="10254BA1" w14:textId="77777777" w:rsidR="00192F18" w:rsidRPr="00192F18" w:rsidRDefault="00192F18" w:rsidP="00192F18">
            <w:pPr>
              <w:widowControl w:val="0"/>
              <w:spacing w:after="0" w:line="240" w:lineRule="auto"/>
              <w:rPr>
                <w:rFonts w:ascii="Courier New" w:eastAsia="Courier New" w:hAnsi="Courier New" w:cs="Courier New"/>
                <w:color w:val="000000"/>
                <w:sz w:val="10"/>
                <w:szCs w:val="10"/>
                <w:lang w:bidi="en-US"/>
              </w:rPr>
            </w:pPr>
          </w:p>
        </w:tc>
      </w:tr>
      <w:tr w:rsidR="00192F18" w:rsidRPr="00192F18" w14:paraId="37B084FC" w14:textId="77777777" w:rsidTr="00752AC0">
        <w:trPr>
          <w:trHeight w:hRule="exact" w:val="350"/>
          <w:jc w:val="center"/>
        </w:trPr>
        <w:tc>
          <w:tcPr>
            <w:tcW w:w="1618" w:type="dxa"/>
            <w:tcBorders>
              <w:top w:val="single" w:sz="4" w:space="0" w:color="auto"/>
              <w:left w:val="single" w:sz="4" w:space="0" w:color="auto"/>
            </w:tcBorders>
            <w:shd w:val="clear" w:color="auto" w:fill="auto"/>
          </w:tcPr>
          <w:p w14:paraId="1A2F3809" w14:textId="77777777" w:rsidR="00192F18" w:rsidRPr="00192F18" w:rsidRDefault="00192F18" w:rsidP="00192F18">
            <w:pPr>
              <w:widowControl w:val="0"/>
              <w:spacing w:after="0" w:line="240" w:lineRule="auto"/>
              <w:rPr>
                <w:rFonts w:ascii="Courier New" w:eastAsia="Courier New" w:hAnsi="Courier New" w:cs="Courier New"/>
                <w:color w:val="000000"/>
                <w:sz w:val="10"/>
                <w:szCs w:val="10"/>
                <w:lang w:bidi="en-US"/>
              </w:rPr>
            </w:pPr>
          </w:p>
        </w:tc>
        <w:tc>
          <w:tcPr>
            <w:tcW w:w="3984" w:type="dxa"/>
            <w:tcBorders>
              <w:top w:val="single" w:sz="4" w:space="0" w:color="auto"/>
              <w:left w:val="single" w:sz="4" w:space="0" w:color="auto"/>
              <w:right w:val="single" w:sz="4" w:space="0" w:color="auto"/>
            </w:tcBorders>
            <w:shd w:val="clear" w:color="auto" w:fill="auto"/>
          </w:tcPr>
          <w:p w14:paraId="20855F94" w14:textId="77777777" w:rsidR="00192F18" w:rsidRPr="00192F18" w:rsidRDefault="00192F18" w:rsidP="00192F18">
            <w:pPr>
              <w:widowControl w:val="0"/>
              <w:spacing w:after="0" w:line="240" w:lineRule="auto"/>
              <w:rPr>
                <w:rFonts w:ascii="Courier New" w:eastAsia="Courier New" w:hAnsi="Courier New" w:cs="Courier New"/>
                <w:color w:val="000000"/>
                <w:sz w:val="10"/>
                <w:szCs w:val="10"/>
                <w:lang w:bidi="en-US"/>
              </w:rPr>
            </w:pPr>
          </w:p>
        </w:tc>
      </w:tr>
      <w:tr w:rsidR="00192F18" w:rsidRPr="00192F18" w14:paraId="634E896B" w14:textId="77777777" w:rsidTr="00752AC0">
        <w:trPr>
          <w:trHeight w:hRule="exact" w:val="341"/>
          <w:jc w:val="center"/>
        </w:trPr>
        <w:tc>
          <w:tcPr>
            <w:tcW w:w="1618" w:type="dxa"/>
            <w:tcBorders>
              <w:top w:val="single" w:sz="4" w:space="0" w:color="auto"/>
              <w:left w:val="single" w:sz="4" w:space="0" w:color="auto"/>
            </w:tcBorders>
            <w:shd w:val="clear" w:color="auto" w:fill="auto"/>
          </w:tcPr>
          <w:p w14:paraId="09EA97AF" w14:textId="77777777" w:rsidR="00192F18" w:rsidRPr="00192F18" w:rsidRDefault="00192F18" w:rsidP="00192F18">
            <w:pPr>
              <w:widowControl w:val="0"/>
              <w:spacing w:after="0" w:line="240" w:lineRule="auto"/>
              <w:rPr>
                <w:rFonts w:ascii="Courier New" w:eastAsia="Courier New" w:hAnsi="Courier New" w:cs="Courier New"/>
                <w:color w:val="000000"/>
                <w:sz w:val="10"/>
                <w:szCs w:val="10"/>
                <w:lang w:bidi="en-US"/>
              </w:rPr>
            </w:pPr>
          </w:p>
        </w:tc>
        <w:tc>
          <w:tcPr>
            <w:tcW w:w="3984" w:type="dxa"/>
            <w:tcBorders>
              <w:top w:val="single" w:sz="4" w:space="0" w:color="auto"/>
              <w:left w:val="single" w:sz="4" w:space="0" w:color="auto"/>
              <w:right w:val="single" w:sz="4" w:space="0" w:color="auto"/>
            </w:tcBorders>
            <w:shd w:val="clear" w:color="auto" w:fill="auto"/>
          </w:tcPr>
          <w:p w14:paraId="07C9C9C7" w14:textId="77777777" w:rsidR="00192F18" w:rsidRPr="00192F18" w:rsidRDefault="00192F18" w:rsidP="00192F18">
            <w:pPr>
              <w:widowControl w:val="0"/>
              <w:spacing w:after="0" w:line="240" w:lineRule="auto"/>
              <w:rPr>
                <w:rFonts w:ascii="Courier New" w:eastAsia="Courier New" w:hAnsi="Courier New" w:cs="Courier New"/>
                <w:color w:val="000000"/>
                <w:sz w:val="10"/>
                <w:szCs w:val="10"/>
                <w:lang w:bidi="en-US"/>
              </w:rPr>
            </w:pPr>
          </w:p>
        </w:tc>
      </w:tr>
      <w:tr w:rsidR="00192F18" w:rsidRPr="00192F18" w14:paraId="042135CD" w14:textId="77777777" w:rsidTr="00752AC0">
        <w:trPr>
          <w:trHeight w:hRule="exact" w:val="350"/>
          <w:jc w:val="center"/>
        </w:trPr>
        <w:tc>
          <w:tcPr>
            <w:tcW w:w="1618" w:type="dxa"/>
            <w:tcBorders>
              <w:top w:val="single" w:sz="4" w:space="0" w:color="auto"/>
              <w:left w:val="single" w:sz="4" w:space="0" w:color="auto"/>
            </w:tcBorders>
            <w:shd w:val="clear" w:color="auto" w:fill="auto"/>
          </w:tcPr>
          <w:p w14:paraId="56FABB91" w14:textId="77777777" w:rsidR="00192F18" w:rsidRPr="00192F18" w:rsidRDefault="00192F18" w:rsidP="00192F18">
            <w:pPr>
              <w:widowControl w:val="0"/>
              <w:spacing w:after="0" w:line="240" w:lineRule="auto"/>
              <w:rPr>
                <w:rFonts w:ascii="Courier New" w:eastAsia="Courier New" w:hAnsi="Courier New" w:cs="Courier New"/>
                <w:color w:val="000000"/>
                <w:sz w:val="10"/>
                <w:szCs w:val="10"/>
                <w:lang w:bidi="en-US"/>
              </w:rPr>
            </w:pPr>
          </w:p>
        </w:tc>
        <w:tc>
          <w:tcPr>
            <w:tcW w:w="3984" w:type="dxa"/>
            <w:tcBorders>
              <w:top w:val="single" w:sz="4" w:space="0" w:color="auto"/>
              <w:left w:val="single" w:sz="4" w:space="0" w:color="auto"/>
              <w:right w:val="single" w:sz="4" w:space="0" w:color="auto"/>
            </w:tcBorders>
            <w:shd w:val="clear" w:color="auto" w:fill="auto"/>
          </w:tcPr>
          <w:p w14:paraId="6BFA8084" w14:textId="77777777" w:rsidR="00192F18" w:rsidRPr="00192F18" w:rsidRDefault="00192F18" w:rsidP="00192F18">
            <w:pPr>
              <w:widowControl w:val="0"/>
              <w:spacing w:after="0" w:line="240" w:lineRule="auto"/>
              <w:rPr>
                <w:rFonts w:ascii="Courier New" w:eastAsia="Courier New" w:hAnsi="Courier New" w:cs="Courier New"/>
                <w:color w:val="000000"/>
                <w:sz w:val="10"/>
                <w:szCs w:val="10"/>
                <w:lang w:bidi="en-US"/>
              </w:rPr>
            </w:pPr>
          </w:p>
        </w:tc>
      </w:tr>
      <w:tr w:rsidR="00192F18" w:rsidRPr="00192F18" w14:paraId="78AEF67B" w14:textId="77777777" w:rsidTr="00752AC0">
        <w:trPr>
          <w:trHeight w:hRule="exact" w:val="346"/>
          <w:jc w:val="center"/>
        </w:trPr>
        <w:tc>
          <w:tcPr>
            <w:tcW w:w="1618" w:type="dxa"/>
            <w:tcBorders>
              <w:top w:val="single" w:sz="4" w:space="0" w:color="auto"/>
              <w:left w:val="single" w:sz="4" w:space="0" w:color="auto"/>
            </w:tcBorders>
            <w:shd w:val="clear" w:color="auto" w:fill="auto"/>
          </w:tcPr>
          <w:p w14:paraId="0919B80B" w14:textId="77777777" w:rsidR="00192F18" w:rsidRPr="00192F18" w:rsidRDefault="00192F18" w:rsidP="00192F18">
            <w:pPr>
              <w:widowControl w:val="0"/>
              <w:spacing w:after="0" w:line="240" w:lineRule="auto"/>
              <w:rPr>
                <w:rFonts w:ascii="Courier New" w:eastAsia="Courier New" w:hAnsi="Courier New" w:cs="Courier New"/>
                <w:color w:val="000000"/>
                <w:sz w:val="10"/>
                <w:szCs w:val="10"/>
                <w:lang w:bidi="en-US"/>
              </w:rPr>
            </w:pPr>
          </w:p>
        </w:tc>
        <w:tc>
          <w:tcPr>
            <w:tcW w:w="3984" w:type="dxa"/>
            <w:tcBorders>
              <w:top w:val="single" w:sz="4" w:space="0" w:color="auto"/>
              <w:left w:val="single" w:sz="4" w:space="0" w:color="auto"/>
              <w:right w:val="single" w:sz="4" w:space="0" w:color="auto"/>
            </w:tcBorders>
            <w:shd w:val="clear" w:color="auto" w:fill="auto"/>
          </w:tcPr>
          <w:p w14:paraId="3AB624CF" w14:textId="77777777" w:rsidR="00192F18" w:rsidRPr="00192F18" w:rsidRDefault="00192F18" w:rsidP="00192F18">
            <w:pPr>
              <w:widowControl w:val="0"/>
              <w:spacing w:after="0" w:line="240" w:lineRule="auto"/>
              <w:rPr>
                <w:rFonts w:ascii="Courier New" w:eastAsia="Courier New" w:hAnsi="Courier New" w:cs="Courier New"/>
                <w:color w:val="000000"/>
                <w:sz w:val="10"/>
                <w:szCs w:val="10"/>
                <w:lang w:bidi="en-US"/>
              </w:rPr>
            </w:pPr>
          </w:p>
        </w:tc>
      </w:tr>
      <w:tr w:rsidR="00192F18" w:rsidRPr="00192F18" w14:paraId="406C3433" w14:textId="77777777" w:rsidTr="00752AC0">
        <w:trPr>
          <w:trHeight w:hRule="exact" w:val="350"/>
          <w:jc w:val="center"/>
        </w:trPr>
        <w:tc>
          <w:tcPr>
            <w:tcW w:w="1618" w:type="dxa"/>
            <w:tcBorders>
              <w:top w:val="single" w:sz="4" w:space="0" w:color="auto"/>
              <w:left w:val="single" w:sz="4" w:space="0" w:color="auto"/>
            </w:tcBorders>
            <w:shd w:val="clear" w:color="auto" w:fill="auto"/>
          </w:tcPr>
          <w:p w14:paraId="6B32D25A" w14:textId="77777777" w:rsidR="00192F18" w:rsidRPr="00192F18" w:rsidRDefault="00192F18" w:rsidP="00192F18">
            <w:pPr>
              <w:widowControl w:val="0"/>
              <w:spacing w:after="0" w:line="240" w:lineRule="auto"/>
              <w:rPr>
                <w:rFonts w:ascii="Courier New" w:eastAsia="Courier New" w:hAnsi="Courier New" w:cs="Courier New"/>
                <w:color w:val="000000"/>
                <w:sz w:val="10"/>
                <w:szCs w:val="10"/>
                <w:lang w:bidi="en-US"/>
              </w:rPr>
            </w:pPr>
          </w:p>
        </w:tc>
        <w:tc>
          <w:tcPr>
            <w:tcW w:w="3984" w:type="dxa"/>
            <w:tcBorders>
              <w:top w:val="single" w:sz="4" w:space="0" w:color="auto"/>
              <w:left w:val="single" w:sz="4" w:space="0" w:color="auto"/>
              <w:right w:val="single" w:sz="4" w:space="0" w:color="auto"/>
            </w:tcBorders>
            <w:shd w:val="clear" w:color="auto" w:fill="auto"/>
          </w:tcPr>
          <w:p w14:paraId="17BCC8B3" w14:textId="77777777" w:rsidR="00192F18" w:rsidRPr="00192F18" w:rsidRDefault="00192F18" w:rsidP="00192F18">
            <w:pPr>
              <w:widowControl w:val="0"/>
              <w:spacing w:after="0" w:line="240" w:lineRule="auto"/>
              <w:rPr>
                <w:rFonts w:ascii="Courier New" w:eastAsia="Courier New" w:hAnsi="Courier New" w:cs="Courier New"/>
                <w:color w:val="000000"/>
                <w:sz w:val="10"/>
                <w:szCs w:val="10"/>
                <w:lang w:bidi="en-US"/>
              </w:rPr>
            </w:pPr>
          </w:p>
        </w:tc>
      </w:tr>
      <w:tr w:rsidR="00192F18" w:rsidRPr="00192F18" w14:paraId="7799BB87" w14:textId="77777777" w:rsidTr="00752AC0">
        <w:trPr>
          <w:trHeight w:hRule="exact" w:val="346"/>
          <w:jc w:val="center"/>
        </w:trPr>
        <w:tc>
          <w:tcPr>
            <w:tcW w:w="1618" w:type="dxa"/>
            <w:tcBorders>
              <w:top w:val="single" w:sz="4" w:space="0" w:color="auto"/>
              <w:left w:val="single" w:sz="4" w:space="0" w:color="auto"/>
            </w:tcBorders>
            <w:shd w:val="clear" w:color="auto" w:fill="auto"/>
          </w:tcPr>
          <w:p w14:paraId="121B52B6" w14:textId="77777777" w:rsidR="00192F18" w:rsidRPr="00192F18" w:rsidRDefault="00192F18" w:rsidP="00192F18">
            <w:pPr>
              <w:widowControl w:val="0"/>
              <w:spacing w:after="0" w:line="240" w:lineRule="auto"/>
              <w:rPr>
                <w:rFonts w:ascii="Courier New" w:eastAsia="Courier New" w:hAnsi="Courier New" w:cs="Courier New"/>
                <w:color w:val="000000"/>
                <w:sz w:val="10"/>
                <w:szCs w:val="10"/>
                <w:lang w:bidi="en-US"/>
              </w:rPr>
            </w:pPr>
          </w:p>
        </w:tc>
        <w:tc>
          <w:tcPr>
            <w:tcW w:w="3984" w:type="dxa"/>
            <w:tcBorders>
              <w:top w:val="single" w:sz="4" w:space="0" w:color="auto"/>
              <w:left w:val="single" w:sz="4" w:space="0" w:color="auto"/>
              <w:right w:val="single" w:sz="4" w:space="0" w:color="auto"/>
            </w:tcBorders>
            <w:shd w:val="clear" w:color="auto" w:fill="auto"/>
          </w:tcPr>
          <w:p w14:paraId="3D40BCDA" w14:textId="77777777" w:rsidR="00192F18" w:rsidRPr="00192F18" w:rsidRDefault="00192F18" w:rsidP="00192F18">
            <w:pPr>
              <w:widowControl w:val="0"/>
              <w:spacing w:after="0" w:line="240" w:lineRule="auto"/>
              <w:rPr>
                <w:rFonts w:ascii="Courier New" w:eastAsia="Courier New" w:hAnsi="Courier New" w:cs="Courier New"/>
                <w:color w:val="000000"/>
                <w:sz w:val="10"/>
                <w:szCs w:val="10"/>
                <w:lang w:bidi="en-US"/>
              </w:rPr>
            </w:pPr>
          </w:p>
        </w:tc>
      </w:tr>
      <w:tr w:rsidR="00192F18" w:rsidRPr="00192F18" w14:paraId="5B5D4E74" w14:textId="77777777" w:rsidTr="00752AC0">
        <w:trPr>
          <w:trHeight w:hRule="exact" w:val="346"/>
          <w:jc w:val="center"/>
        </w:trPr>
        <w:tc>
          <w:tcPr>
            <w:tcW w:w="1618" w:type="dxa"/>
            <w:tcBorders>
              <w:top w:val="single" w:sz="4" w:space="0" w:color="auto"/>
              <w:left w:val="single" w:sz="4" w:space="0" w:color="auto"/>
            </w:tcBorders>
            <w:shd w:val="clear" w:color="auto" w:fill="auto"/>
          </w:tcPr>
          <w:p w14:paraId="5FBC1D0E" w14:textId="77777777" w:rsidR="00192F18" w:rsidRPr="00192F18" w:rsidRDefault="00192F18" w:rsidP="00192F18">
            <w:pPr>
              <w:widowControl w:val="0"/>
              <w:spacing w:after="0" w:line="240" w:lineRule="auto"/>
              <w:rPr>
                <w:rFonts w:ascii="Courier New" w:eastAsia="Courier New" w:hAnsi="Courier New" w:cs="Courier New"/>
                <w:color w:val="000000"/>
                <w:sz w:val="10"/>
                <w:szCs w:val="10"/>
                <w:lang w:bidi="en-US"/>
              </w:rPr>
            </w:pPr>
          </w:p>
        </w:tc>
        <w:tc>
          <w:tcPr>
            <w:tcW w:w="3984" w:type="dxa"/>
            <w:tcBorders>
              <w:top w:val="single" w:sz="4" w:space="0" w:color="auto"/>
              <w:left w:val="single" w:sz="4" w:space="0" w:color="auto"/>
              <w:right w:val="single" w:sz="4" w:space="0" w:color="auto"/>
            </w:tcBorders>
            <w:shd w:val="clear" w:color="auto" w:fill="auto"/>
          </w:tcPr>
          <w:p w14:paraId="4EB39B65" w14:textId="77777777" w:rsidR="00192F18" w:rsidRPr="00192F18" w:rsidRDefault="00192F18" w:rsidP="00192F18">
            <w:pPr>
              <w:widowControl w:val="0"/>
              <w:spacing w:after="0" w:line="240" w:lineRule="auto"/>
              <w:rPr>
                <w:rFonts w:ascii="Courier New" w:eastAsia="Courier New" w:hAnsi="Courier New" w:cs="Courier New"/>
                <w:color w:val="000000"/>
                <w:sz w:val="10"/>
                <w:szCs w:val="10"/>
                <w:lang w:bidi="en-US"/>
              </w:rPr>
            </w:pPr>
          </w:p>
        </w:tc>
      </w:tr>
      <w:tr w:rsidR="00192F18" w:rsidRPr="00192F18" w14:paraId="23BA2D2B" w14:textId="77777777" w:rsidTr="00752AC0">
        <w:trPr>
          <w:trHeight w:hRule="exact" w:val="350"/>
          <w:jc w:val="center"/>
        </w:trPr>
        <w:tc>
          <w:tcPr>
            <w:tcW w:w="1618" w:type="dxa"/>
            <w:tcBorders>
              <w:top w:val="single" w:sz="4" w:space="0" w:color="auto"/>
              <w:left w:val="single" w:sz="4" w:space="0" w:color="auto"/>
            </w:tcBorders>
            <w:shd w:val="clear" w:color="auto" w:fill="auto"/>
          </w:tcPr>
          <w:p w14:paraId="25978D09" w14:textId="77777777" w:rsidR="00192F18" w:rsidRPr="00192F18" w:rsidRDefault="00192F18" w:rsidP="00192F18">
            <w:pPr>
              <w:widowControl w:val="0"/>
              <w:spacing w:after="0" w:line="240" w:lineRule="auto"/>
              <w:rPr>
                <w:rFonts w:ascii="Courier New" w:eastAsia="Courier New" w:hAnsi="Courier New" w:cs="Courier New"/>
                <w:color w:val="000000"/>
                <w:sz w:val="10"/>
                <w:szCs w:val="10"/>
                <w:lang w:bidi="en-US"/>
              </w:rPr>
            </w:pPr>
          </w:p>
        </w:tc>
        <w:tc>
          <w:tcPr>
            <w:tcW w:w="3984" w:type="dxa"/>
            <w:tcBorders>
              <w:top w:val="single" w:sz="4" w:space="0" w:color="auto"/>
              <w:left w:val="single" w:sz="4" w:space="0" w:color="auto"/>
              <w:right w:val="single" w:sz="4" w:space="0" w:color="auto"/>
            </w:tcBorders>
            <w:shd w:val="clear" w:color="auto" w:fill="auto"/>
          </w:tcPr>
          <w:p w14:paraId="420A6464" w14:textId="77777777" w:rsidR="00192F18" w:rsidRPr="00192F18" w:rsidRDefault="00192F18" w:rsidP="00192F18">
            <w:pPr>
              <w:widowControl w:val="0"/>
              <w:spacing w:after="0" w:line="240" w:lineRule="auto"/>
              <w:rPr>
                <w:rFonts w:ascii="Courier New" w:eastAsia="Courier New" w:hAnsi="Courier New" w:cs="Courier New"/>
                <w:color w:val="000000"/>
                <w:sz w:val="10"/>
                <w:szCs w:val="10"/>
                <w:lang w:bidi="en-US"/>
              </w:rPr>
            </w:pPr>
          </w:p>
        </w:tc>
      </w:tr>
      <w:tr w:rsidR="00192F18" w:rsidRPr="00192F18" w14:paraId="431F2E8D" w14:textId="77777777" w:rsidTr="00752AC0">
        <w:trPr>
          <w:trHeight w:hRule="exact" w:val="346"/>
          <w:jc w:val="center"/>
        </w:trPr>
        <w:tc>
          <w:tcPr>
            <w:tcW w:w="1618" w:type="dxa"/>
            <w:tcBorders>
              <w:top w:val="single" w:sz="4" w:space="0" w:color="auto"/>
              <w:left w:val="single" w:sz="4" w:space="0" w:color="auto"/>
            </w:tcBorders>
            <w:shd w:val="clear" w:color="auto" w:fill="auto"/>
          </w:tcPr>
          <w:p w14:paraId="3863801F" w14:textId="77777777" w:rsidR="00192F18" w:rsidRPr="00192F18" w:rsidRDefault="00192F18" w:rsidP="00192F18">
            <w:pPr>
              <w:widowControl w:val="0"/>
              <w:spacing w:after="0" w:line="240" w:lineRule="auto"/>
              <w:rPr>
                <w:rFonts w:ascii="Courier New" w:eastAsia="Courier New" w:hAnsi="Courier New" w:cs="Courier New"/>
                <w:color w:val="000000"/>
                <w:sz w:val="10"/>
                <w:szCs w:val="10"/>
                <w:lang w:bidi="en-US"/>
              </w:rPr>
            </w:pPr>
          </w:p>
        </w:tc>
        <w:tc>
          <w:tcPr>
            <w:tcW w:w="3984" w:type="dxa"/>
            <w:tcBorders>
              <w:top w:val="single" w:sz="4" w:space="0" w:color="auto"/>
              <w:left w:val="single" w:sz="4" w:space="0" w:color="auto"/>
              <w:right w:val="single" w:sz="4" w:space="0" w:color="auto"/>
            </w:tcBorders>
            <w:shd w:val="clear" w:color="auto" w:fill="auto"/>
          </w:tcPr>
          <w:p w14:paraId="5C36F343" w14:textId="77777777" w:rsidR="00192F18" w:rsidRPr="00192F18" w:rsidRDefault="00192F18" w:rsidP="00192F18">
            <w:pPr>
              <w:widowControl w:val="0"/>
              <w:spacing w:after="0" w:line="240" w:lineRule="auto"/>
              <w:rPr>
                <w:rFonts w:ascii="Courier New" w:eastAsia="Courier New" w:hAnsi="Courier New" w:cs="Courier New"/>
                <w:color w:val="000000"/>
                <w:sz w:val="10"/>
                <w:szCs w:val="10"/>
                <w:lang w:bidi="en-US"/>
              </w:rPr>
            </w:pPr>
          </w:p>
        </w:tc>
      </w:tr>
      <w:tr w:rsidR="00192F18" w:rsidRPr="00192F18" w14:paraId="52D91C9F" w14:textId="77777777" w:rsidTr="00752AC0">
        <w:trPr>
          <w:trHeight w:hRule="exact" w:val="346"/>
          <w:jc w:val="center"/>
        </w:trPr>
        <w:tc>
          <w:tcPr>
            <w:tcW w:w="1618" w:type="dxa"/>
            <w:tcBorders>
              <w:top w:val="single" w:sz="4" w:space="0" w:color="auto"/>
              <w:left w:val="single" w:sz="4" w:space="0" w:color="auto"/>
            </w:tcBorders>
            <w:shd w:val="clear" w:color="auto" w:fill="auto"/>
          </w:tcPr>
          <w:p w14:paraId="1E49AF91" w14:textId="77777777" w:rsidR="00192F18" w:rsidRPr="00192F18" w:rsidRDefault="00192F18" w:rsidP="00192F18">
            <w:pPr>
              <w:widowControl w:val="0"/>
              <w:spacing w:after="0" w:line="240" w:lineRule="auto"/>
              <w:rPr>
                <w:rFonts w:ascii="Courier New" w:eastAsia="Courier New" w:hAnsi="Courier New" w:cs="Courier New"/>
                <w:color w:val="000000"/>
                <w:sz w:val="10"/>
                <w:szCs w:val="10"/>
                <w:lang w:bidi="en-US"/>
              </w:rPr>
            </w:pPr>
          </w:p>
        </w:tc>
        <w:tc>
          <w:tcPr>
            <w:tcW w:w="3984" w:type="dxa"/>
            <w:tcBorders>
              <w:top w:val="single" w:sz="4" w:space="0" w:color="auto"/>
              <w:left w:val="single" w:sz="4" w:space="0" w:color="auto"/>
              <w:right w:val="single" w:sz="4" w:space="0" w:color="auto"/>
            </w:tcBorders>
            <w:shd w:val="clear" w:color="auto" w:fill="auto"/>
          </w:tcPr>
          <w:p w14:paraId="0BE10713" w14:textId="77777777" w:rsidR="00192F18" w:rsidRPr="00192F18" w:rsidRDefault="00192F18" w:rsidP="00192F18">
            <w:pPr>
              <w:widowControl w:val="0"/>
              <w:spacing w:after="0" w:line="240" w:lineRule="auto"/>
              <w:rPr>
                <w:rFonts w:ascii="Courier New" w:eastAsia="Courier New" w:hAnsi="Courier New" w:cs="Courier New"/>
                <w:color w:val="000000"/>
                <w:sz w:val="10"/>
                <w:szCs w:val="10"/>
                <w:lang w:bidi="en-US"/>
              </w:rPr>
            </w:pPr>
          </w:p>
        </w:tc>
      </w:tr>
      <w:tr w:rsidR="00192F18" w:rsidRPr="00192F18" w14:paraId="467F66C3" w14:textId="77777777" w:rsidTr="00752AC0">
        <w:trPr>
          <w:trHeight w:hRule="exact" w:val="350"/>
          <w:jc w:val="center"/>
        </w:trPr>
        <w:tc>
          <w:tcPr>
            <w:tcW w:w="1618" w:type="dxa"/>
            <w:tcBorders>
              <w:top w:val="single" w:sz="4" w:space="0" w:color="auto"/>
              <w:left w:val="single" w:sz="4" w:space="0" w:color="auto"/>
              <w:bottom w:val="single" w:sz="4" w:space="0" w:color="auto"/>
            </w:tcBorders>
            <w:shd w:val="clear" w:color="auto" w:fill="auto"/>
          </w:tcPr>
          <w:p w14:paraId="6E2BECDB" w14:textId="77777777" w:rsidR="00192F18" w:rsidRPr="00192F18" w:rsidRDefault="00192F18" w:rsidP="00192F18">
            <w:pPr>
              <w:widowControl w:val="0"/>
              <w:spacing w:after="0" w:line="240" w:lineRule="auto"/>
              <w:rPr>
                <w:rFonts w:ascii="Courier New" w:eastAsia="Courier New" w:hAnsi="Courier New" w:cs="Courier New"/>
                <w:color w:val="000000"/>
                <w:sz w:val="10"/>
                <w:szCs w:val="10"/>
                <w:lang w:bidi="en-US"/>
              </w:rPr>
            </w:pPr>
          </w:p>
        </w:tc>
        <w:tc>
          <w:tcPr>
            <w:tcW w:w="3984" w:type="dxa"/>
            <w:tcBorders>
              <w:top w:val="single" w:sz="4" w:space="0" w:color="auto"/>
              <w:left w:val="single" w:sz="4" w:space="0" w:color="auto"/>
              <w:bottom w:val="single" w:sz="4" w:space="0" w:color="auto"/>
              <w:right w:val="single" w:sz="4" w:space="0" w:color="auto"/>
            </w:tcBorders>
            <w:shd w:val="clear" w:color="auto" w:fill="auto"/>
          </w:tcPr>
          <w:p w14:paraId="262A7962" w14:textId="77777777" w:rsidR="00192F18" w:rsidRPr="00192F18" w:rsidRDefault="00192F18" w:rsidP="00192F18">
            <w:pPr>
              <w:widowControl w:val="0"/>
              <w:spacing w:after="0" w:line="240" w:lineRule="auto"/>
              <w:rPr>
                <w:rFonts w:ascii="Courier New" w:eastAsia="Courier New" w:hAnsi="Courier New" w:cs="Courier New"/>
                <w:color w:val="000000"/>
                <w:sz w:val="10"/>
                <w:szCs w:val="10"/>
                <w:lang w:bidi="en-US"/>
              </w:rPr>
            </w:pPr>
          </w:p>
        </w:tc>
      </w:tr>
    </w:tbl>
    <w:p w14:paraId="20962F98" w14:textId="77777777" w:rsidR="00192F18" w:rsidRPr="00192F18" w:rsidRDefault="00192F18" w:rsidP="00192F18">
      <w:pPr>
        <w:widowControl w:val="0"/>
        <w:spacing w:after="0" w:line="240" w:lineRule="auto"/>
        <w:rPr>
          <w:rFonts w:ascii="Courier New" w:eastAsia="Courier New" w:hAnsi="Courier New" w:cs="Courier New"/>
          <w:color w:val="000000"/>
          <w:sz w:val="24"/>
          <w:szCs w:val="24"/>
          <w:lang w:bidi="en-US"/>
        </w:rPr>
        <w:sectPr w:rsidR="00192F18" w:rsidRPr="00192F18" w:rsidSect="00C514E1">
          <w:headerReference w:type="default" r:id="rId23"/>
          <w:footerReference w:type="default" r:id="rId24"/>
          <w:headerReference w:type="first" r:id="rId25"/>
          <w:footerReference w:type="first" r:id="rId26"/>
          <w:pgSz w:w="11900" w:h="16840"/>
          <w:pgMar w:top="1418" w:right="1410" w:bottom="1560" w:left="1428" w:header="567" w:footer="672" w:gutter="0"/>
          <w:cols w:space="720"/>
          <w:noEndnote/>
          <w:titlePg/>
          <w:docGrid w:linePitch="360"/>
        </w:sectPr>
      </w:pPr>
    </w:p>
    <w:p w14:paraId="3CAC8B26" w14:textId="77777777" w:rsidR="00192F18" w:rsidRPr="00192F18" w:rsidRDefault="00192F18" w:rsidP="00192F18">
      <w:pPr>
        <w:widowControl w:val="0"/>
        <w:spacing w:after="100" w:line="240" w:lineRule="auto"/>
        <w:jc w:val="center"/>
        <w:rPr>
          <w:rFonts w:ascii="Calibri" w:eastAsia="Calibri" w:hAnsi="Calibri" w:cs="Calibri"/>
          <w:color w:val="000000"/>
          <w:sz w:val="24"/>
          <w:szCs w:val="24"/>
          <w:lang w:bidi="en-US"/>
        </w:rPr>
      </w:pPr>
      <w:r w:rsidRPr="00192F18">
        <w:rPr>
          <w:rFonts w:ascii="Calibri" w:eastAsia="Calibri" w:hAnsi="Calibri" w:cs="Calibri"/>
          <w:b/>
          <w:bCs/>
          <w:color w:val="000000"/>
          <w:sz w:val="24"/>
          <w:szCs w:val="24"/>
          <w:lang w:bidi="en-US"/>
        </w:rPr>
        <w:lastRenderedPageBreak/>
        <w:t>ANNEX II</w:t>
      </w:r>
    </w:p>
    <w:p w14:paraId="4262FBBC" w14:textId="77777777" w:rsidR="00192F18" w:rsidRPr="00192F18" w:rsidRDefault="00192F18" w:rsidP="00192F18">
      <w:pPr>
        <w:keepNext/>
        <w:keepLines/>
        <w:widowControl w:val="0"/>
        <w:spacing w:after="660" w:line="240" w:lineRule="auto"/>
        <w:jc w:val="center"/>
        <w:outlineLvl w:val="3"/>
        <w:rPr>
          <w:rFonts w:ascii="Calibri" w:eastAsia="Calibri" w:hAnsi="Calibri" w:cs="Calibri"/>
          <w:b/>
          <w:bCs/>
          <w:color w:val="000000"/>
          <w:sz w:val="24"/>
          <w:szCs w:val="24"/>
          <w:lang w:bidi="en-US"/>
        </w:rPr>
      </w:pPr>
      <w:bookmarkStart w:id="101" w:name="bookmark70"/>
      <w:r w:rsidRPr="00192F18">
        <w:rPr>
          <w:rFonts w:ascii="Calibri" w:eastAsia="Calibri" w:hAnsi="Calibri" w:cs="Calibri"/>
          <w:b/>
          <w:bCs/>
          <w:color w:val="000000"/>
          <w:sz w:val="24"/>
          <w:szCs w:val="24"/>
          <w:lang w:bidi="en-US"/>
        </w:rPr>
        <w:t>Form of Letter of Bank Guarantee</w:t>
      </w:r>
      <w:bookmarkEnd w:id="101"/>
    </w:p>
    <w:p w14:paraId="6A602759" w14:textId="77777777" w:rsidR="00192F18" w:rsidRPr="00192F18" w:rsidRDefault="00192F18" w:rsidP="00192F18">
      <w:pPr>
        <w:widowControl w:val="0"/>
        <w:tabs>
          <w:tab w:val="right" w:leader="dot" w:pos="1368"/>
          <w:tab w:val="left" w:leader="dot" w:pos="1896"/>
          <w:tab w:val="left" w:leader="dot" w:pos="2569"/>
        </w:tabs>
        <w:spacing w:line="233" w:lineRule="auto"/>
        <w:jc w:val="right"/>
        <w:rPr>
          <w:rFonts w:ascii="Calibri" w:eastAsia="Calibri" w:hAnsi="Calibri" w:cs="Calibri"/>
          <w:color w:val="000000"/>
          <w:sz w:val="24"/>
          <w:szCs w:val="24"/>
          <w:lang w:bidi="en-US"/>
        </w:rPr>
      </w:pPr>
      <w:r w:rsidRPr="00192F18">
        <w:rPr>
          <w:rFonts w:ascii="Calibri" w:eastAsia="Calibri" w:hAnsi="Calibri" w:cs="Calibri"/>
          <w:color w:val="000000"/>
          <w:sz w:val="24"/>
          <w:szCs w:val="24"/>
          <w:lang w:bidi="en-US"/>
        </w:rPr>
        <w:t xml:space="preserve">Athens, </w:t>
      </w:r>
      <w:r w:rsidRPr="00192F18">
        <w:rPr>
          <w:rFonts w:ascii="Calibri" w:eastAsia="Calibri" w:hAnsi="Calibri" w:cs="Calibri"/>
          <w:color w:val="000000"/>
          <w:sz w:val="24"/>
          <w:szCs w:val="24"/>
          <w:lang w:bidi="en-US"/>
        </w:rPr>
        <w:tab/>
        <w:t>/</w:t>
      </w:r>
      <w:r w:rsidRPr="00192F18">
        <w:rPr>
          <w:rFonts w:ascii="Calibri" w:eastAsia="Calibri" w:hAnsi="Calibri" w:cs="Calibri"/>
          <w:color w:val="000000"/>
          <w:sz w:val="24"/>
          <w:szCs w:val="24"/>
          <w:lang w:bidi="en-US"/>
        </w:rPr>
        <w:tab/>
        <w:t xml:space="preserve">/ </w:t>
      </w:r>
      <w:r w:rsidRPr="00192F18">
        <w:rPr>
          <w:rFonts w:ascii="Calibri" w:eastAsia="Calibri" w:hAnsi="Calibri" w:cs="Calibri"/>
          <w:color w:val="000000"/>
          <w:sz w:val="24"/>
          <w:szCs w:val="24"/>
          <w:lang w:bidi="en-US"/>
        </w:rPr>
        <w:tab/>
      </w:r>
    </w:p>
    <w:p w14:paraId="05D26930" w14:textId="77777777" w:rsidR="00192F18" w:rsidRPr="00192F18" w:rsidRDefault="00192F18" w:rsidP="00192F18">
      <w:pPr>
        <w:widowControl w:val="0"/>
        <w:spacing w:line="254" w:lineRule="auto"/>
        <w:rPr>
          <w:rFonts w:ascii="Calibri" w:eastAsia="Calibri" w:hAnsi="Calibri" w:cs="Calibri"/>
          <w:color w:val="000000"/>
          <w:lang w:bidi="en-US"/>
        </w:rPr>
      </w:pPr>
      <w:r w:rsidRPr="00192F18">
        <w:rPr>
          <w:rFonts w:ascii="Calibri" w:eastAsia="Calibri" w:hAnsi="Calibri" w:cs="Calibri"/>
          <w:color w:val="000000"/>
          <w:lang w:bidi="en-US"/>
        </w:rPr>
        <w:t>From:</w:t>
      </w:r>
    </w:p>
    <w:p w14:paraId="741A0078" w14:textId="77777777" w:rsidR="00192F18" w:rsidRPr="00192F18" w:rsidRDefault="00192F18" w:rsidP="00192F18">
      <w:pPr>
        <w:widowControl w:val="0"/>
        <w:spacing w:line="254" w:lineRule="auto"/>
        <w:rPr>
          <w:rFonts w:ascii="Calibri" w:eastAsia="Calibri" w:hAnsi="Calibri" w:cs="Calibri"/>
          <w:color w:val="000000"/>
          <w:lang w:bidi="en-US"/>
        </w:rPr>
      </w:pPr>
      <w:r w:rsidRPr="00192F18">
        <w:rPr>
          <w:rFonts w:ascii="Calibri" w:eastAsia="Calibri" w:hAnsi="Calibri" w:cs="Calibri"/>
          <w:i/>
          <w:iCs/>
          <w:color w:val="000000"/>
          <w:lang w:bidi="en-US"/>
        </w:rPr>
        <w:t>[Bank name / address]</w:t>
      </w:r>
    </w:p>
    <w:p w14:paraId="2490F7FA" w14:textId="77777777" w:rsidR="00192F18" w:rsidRPr="00192F18" w:rsidRDefault="00192F18" w:rsidP="00192F18">
      <w:pPr>
        <w:widowControl w:val="0"/>
        <w:spacing w:line="254" w:lineRule="auto"/>
        <w:jc w:val="both"/>
        <w:rPr>
          <w:rFonts w:ascii="Calibri" w:eastAsia="Calibri" w:hAnsi="Calibri" w:cs="Calibri"/>
          <w:color w:val="000000"/>
          <w:lang w:bidi="en-US"/>
        </w:rPr>
      </w:pPr>
      <w:r w:rsidRPr="00192F18">
        <w:rPr>
          <w:rFonts w:ascii="Calibri" w:eastAsia="Calibri" w:hAnsi="Calibri" w:cs="Calibri"/>
          <w:color w:val="000000"/>
          <w:lang w:bidi="en-US"/>
        </w:rPr>
        <w:t>To:</w:t>
      </w:r>
    </w:p>
    <w:p w14:paraId="6885F960" w14:textId="77777777" w:rsidR="00192F18" w:rsidRPr="00192F18" w:rsidRDefault="00192F18" w:rsidP="00192F18">
      <w:pPr>
        <w:widowControl w:val="0"/>
        <w:spacing w:line="254" w:lineRule="auto"/>
        <w:jc w:val="both"/>
        <w:rPr>
          <w:rFonts w:ascii="Calibri" w:eastAsia="Calibri" w:hAnsi="Calibri" w:cs="Calibri"/>
          <w:color w:val="000000"/>
          <w:lang w:bidi="en-US"/>
        </w:rPr>
      </w:pPr>
      <w:r w:rsidRPr="00192F18">
        <w:rPr>
          <w:rFonts w:ascii="Calibri" w:eastAsia="Calibri" w:hAnsi="Calibri" w:cs="Calibri"/>
          <w:color w:val="000000"/>
          <w:lang w:bidi="en-US"/>
        </w:rPr>
        <w:t>The HELLENIC GAS TRANSMISSION SYSTEM OPERATOR SOCIETE ANONYME</w:t>
      </w:r>
    </w:p>
    <w:p w14:paraId="76BCC39E" w14:textId="77777777" w:rsidR="00192F18" w:rsidRPr="00192F18" w:rsidRDefault="00192F18" w:rsidP="00192F18">
      <w:pPr>
        <w:widowControl w:val="0"/>
        <w:tabs>
          <w:tab w:val="left" w:leader="dot" w:pos="3275"/>
        </w:tabs>
        <w:spacing w:line="254" w:lineRule="auto"/>
        <w:rPr>
          <w:rFonts w:ascii="Calibri" w:eastAsia="Calibri" w:hAnsi="Calibri" w:cs="Calibri"/>
          <w:color w:val="000000"/>
          <w:lang w:bidi="en-US"/>
        </w:rPr>
      </w:pPr>
      <w:r w:rsidRPr="00192F18">
        <w:rPr>
          <w:rFonts w:ascii="Calibri" w:eastAsia="Calibri" w:hAnsi="Calibri" w:cs="Calibri"/>
          <w:color w:val="000000"/>
          <w:lang w:bidi="en-US"/>
        </w:rPr>
        <w:t xml:space="preserve">NUMBER </w:t>
      </w:r>
      <w:r w:rsidRPr="00192F18">
        <w:rPr>
          <w:rFonts w:ascii="Calibri" w:eastAsia="Calibri" w:hAnsi="Calibri" w:cs="Calibri"/>
          <w:color w:val="000000"/>
          <w:lang w:bidi="en-US"/>
        </w:rPr>
        <w:tab/>
      </w:r>
    </w:p>
    <w:p w14:paraId="42A98C3E" w14:textId="77777777" w:rsidR="00192F18" w:rsidRPr="00192F18" w:rsidRDefault="00192F18" w:rsidP="00192F18">
      <w:pPr>
        <w:widowControl w:val="0"/>
        <w:tabs>
          <w:tab w:val="left" w:leader="dot" w:pos="3069"/>
        </w:tabs>
        <w:spacing w:after="600" w:line="254" w:lineRule="auto"/>
        <w:rPr>
          <w:rFonts w:ascii="Calibri" w:eastAsia="Calibri" w:hAnsi="Calibri" w:cs="Calibri"/>
          <w:color w:val="000000"/>
          <w:lang w:bidi="en-US"/>
        </w:rPr>
      </w:pPr>
      <w:r w:rsidRPr="00192F18">
        <w:rPr>
          <w:rFonts w:ascii="Calibri" w:eastAsia="Calibri" w:hAnsi="Calibri" w:cs="Calibri"/>
          <w:color w:val="000000"/>
          <w:lang w:bidi="en-US"/>
        </w:rPr>
        <w:t>EURO: #</w:t>
      </w:r>
      <w:r w:rsidRPr="00192F18">
        <w:rPr>
          <w:rFonts w:ascii="Calibri" w:eastAsia="Calibri" w:hAnsi="Calibri" w:cs="Calibri"/>
          <w:color w:val="000000"/>
          <w:lang w:bidi="en-US"/>
        </w:rPr>
        <w:tab/>
        <w:t>€</w:t>
      </w:r>
    </w:p>
    <w:p w14:paraId="7D760C7F" w14:textId="77777777" w:rsidR="00192F18" w:rsidRPr="00192F18" w:rsidRDefault="00192F18" w:rsidP="00192F18">
      <w:pPr>
        <w:widowControl w:val="0"/>
        <w:spacing w:line="254" w:lineRule="auto"/>
        <w:jc w:val="both"/>
        <w:rPr>
          <w:rFonts w:ascii="Calibri" w:eastAsia="Calibri" w:hAnsi="Calibri" w:cs="Calibri"/>
          <w:color w:val="000000"/>
          <w:lang w:bidi="en-US"/>
        </w:rPr>
      </w:pPr>
      <w:r w:rsidRPr="00192F18">
        <w:rPr>
          <w:rFonts w:ascii="Calibri" w:eastAsia="Calibri" w:hAnsi="Calibri" w:cs="Calibri"/>
          <w:color w:val="000000"/>
          <w:lang w:bidi="en-US"/>
        </w:rPr>
        <w:t>Dear Sirs or Madam,</w:t>
      </w:r>
    </w:p>
    <w:p w14:paraId="54B1812E" w14:textId="4032ECA1" w:rsidR="00192F18" w:rsidRPr="00192F18" w:rsidRDefault="00192F18" w:rsidP="00222097">
      <w:pPr>
        <w:widowControl w:val="0"/>
        <w:tabs>
          <w:tab w:val="right" w:leader="dot" w:pos="2421"/>
          <w:tab w:val="left" w:pos="2585"/>
        </w:tabs>
        <w:spacing w:after="0" w:line="254" w:lineRule="auto"/>
        <w:jc w:val="both"/>
        <w:rPr>
          <w:rFonts w:ascii="Calibri" w:eastAsia="Calibri" w:hAnsi="Calibri" w:cs="Calibri"/>
          <w:color w:val="000000"/>
          <w:lang w:bidi="en-US"/>
        </w:rPr>
      </w:pPr>
      <w:r w:rsidRPr="00192F18">
        <w:rPr>
          <w:rFonts w:ascii="Calibri" w:eastAsia="Calibri" w:hAnsi="Calibri" w:cs="Calibri"/>
          <w:color w:val="000000"/>
          <w:lang w:bidi="en-US"/>
        </w:rPr>
        <w:t xml:space="preserve">We refer to the Gas Transportation Agreement [•insert Gas Transportation Agreement number] (hereinafter the Agreement) and made between </w:t>
      </w:r>
      <w:r w:rsidRPr="00192F18">
        <w:rPr>
          <w:rFonts w:ascii="Calibri" w:eastAsia="Calibri" w:hAnsi="Calibri" w:cs="Calibri"/>
          <w:i/>
          <w:iCs/>
          <w:color w:val="000000"/>
          <w:lang w:bidi="en-US"/>
        </w:rPr>
        <w:t>[“Company’s name”]</w:t>
      </w:r>
      <w:r w:rsidRPr="00192F18">
        <w:rPr>
          <w:rFonts w:ascii="Calibri" w:eastAsia="Calibri" w:hAnsi="Calibri" w:cs="Calibri"/>
          <w:color w:val="000000"/>
          <w:lang w:bidi="en-US"/>
        </w:rPr>
        <w:t xml:space="preserve"> with the distinctive title </w:t>
      </w:r>
      <w:r w:rsidRPr="00192F18">
        <w:rPr>
          <w:rFonts w:ascii="Calibri" w:eastAsia="Calibri" w:hAnsi="Calibri" w:cs="Calibri"/>
          <w:i/>
          <w:iCs/>
          <w:color w:val="000000"/>
          <w:lang w:bidi="en-US"/>
        </w:rPr>
        <w:t>[“</w:t>
      </w:r>
      <w:r w:rsidRPr="00192F18">
        <w:rPr>
          <w:rFonts w:ascii="Calibri" w:eastAsia="Calibri" w:hAnsi="Calibri" w:cs="Calibri"/>
          <w:i/>
          <w:iCs/>
          <w:color w:val="000000"/>
          <w:lang w:bidi="en-US"/>
        </w:rPr>
        <w:tab/>
        <w:t>……….”]</w:t>
      </w:r>
      <w:r w:rsidRPr="00192F18">
        <w:rPr>
          <w:rFonts w:ascii="Calibri" w:eastAsia="Calibri" w:hAnsi="Calibri" w:cs="Calibri"/>
          <w:color w:val="000000"/>
          <w:lang w:bidi="en-US"/>
        </w:rPr>
        <w:tab/>
        <w:t>(</w:t>
      </w:r>
      <w:proofErr w:type="gramStart"/>
      <w:r w:rsidRPr="00192F18">
        <w:rPr>
          <w:rFonts w:ascii="Calibri" w:eastAsia="Calibri" w:hAnsi="Calibri" w:cs="Calibri"/>
          <w:color w:val="000000"/>
          <w:lang w:bidi="en-US"/>
        </w:rPr>
        <w:t>hereinafter</w:t>
      </w:r>
      <w:proofErr w:type="gramEnd"/>
      <w:r w:rsidRPr="00192F18">
        <w:rPr>
          <w:rFonts w:ascii="Calibri" w:eastAsia="Calibri" w:hAnsi="Calibri" w:cs="Calibri"/>
          <w:color w:val="000000"/>
          <w:lang w:bidi="en-US"/>
        </w:rPr>
        <w:t xml:space="preserve"> the Company) and the company under the company name</w:t>
      </w:r>
      <w:r w:rsidR="00222097">
        <w:rPr>
          <w:rFonts w:ascii="Calibri" w:eastAsia="Calibri" w:hAnsi="Calibri" w:cs="Calibri"/>
          <w:color w:val="000000"/>
          <w:lang w:bidi="en-US"/>
        </w:rPr>
        <w:t xml:space="preserve"> </w:t>
      </w:r>
      <w:r w:rsidRPr="00192F18">
        <w:rPr>
          <w:rFonts w:ascii="Calibri" w:eastAsia="Calibri" w:hAnsi="Calibri" w:cs="Calibri"/>
          <w:color w:val="000000"/>
          <w:lang w:bidi="en-US"/>
        </w:rPr>
        <w:t>“HELLENIC GAS TRANSMISSION SYSTEM OPERATOR SOCIETE ANONYME” with the distinctive title “DESFA” (hereinafter DESFA) by and upon order of the Company. The terms used in this letter of guarantee shall, save where the context otherwise requires, have the meanings given in the Agreement.</w:t>
      </w:r>
    </w:p>
    <w:p w14:paraId="2BB84F67" w14:textId="593323C8" w:rsidR="00192F18" w:rsidRPr="00192F18" w:rsidRDefault="00192F18" w:rsidP="00222097">
      <w:pPr>
        <w:widowControl w:val="0"/>
        <w:tabs>
          <w:tab w:val="right" w:leader="dot" w:pos="4840"/>
          <w:tab w:val="left" w:pos="5004"/>
        </w:tabs>
        <w:spacing w:line="254" w:lineRule="auto"/>
        <w:jc w:val="both"/>
        <w:rPr>
          <w:rFonts w:ascii="Calibri" w:eastAsia="Calibri" w:hAnsi="Calibri" w:cs="Calibri"/>
          <w:color w:val="000000"/>
          <w:lang w:bidi="en-US"/>
        </w:rPr>
      </w:pPr>
      <w:r w:rsidRPr="00192F18">
        <w:rPr>
          <w:rFonts w:ascii="Calibri" w:eastAsia="Calibri" w:hAnsi="Calibri" w:cs="Calibri"/>
          <w:color w:val="000000"/>
          <w:lang w:bidi="en-US"/>
        </w:rPr>
        <w:t xml:space="preserve">We hereby expressly, irrevocably and unreservedly guarantee, on behalf of the Company, to pay to DESFA within 3 (three) working days, hereby expressly and unreservedly waiving the exception of claiming the benefit of option as well as our rights deriving from Articles 853, 855 et seq. and 866 of the Greek Civil Code, any amount up to the aggregate maximum amount of </w:t>
      </w:r>
      <w:r w:rsidRPr="00192F18">
        <w:rPr>
          <w:rFonts w:ascii="Calibri" w:eastAsia="Calibri" w:hAnsi="Calibri" w:cs="Calibri"/>
          <w:i/>
          <w:iCs/>
          <w:color w:val="000000"/>
          <w:lang w:bidi="en-US"/>
        </w:rPr>
        <w:t>[Bank Guarantee amount in EUR (€</w:t>
      </w:r>
      <w:r w:rsidRPr="00192F18">
        <w:rPr>
          <w:rFonts w:ascii="Calibri" w:eastAsia="Calibri" w:hAnsi="Calibri" w:cs="Calibri"/>
          <w:i/>
          <w:iCs/>
          <w:color w:val="000000"/>
          <w:lang w:bidi="en-US"/>
        </w:rPr>
        <w:tab/>
        <w:t>)]</w:t>
      </w:r>
      <w:r w:rsidRPr="00192F18">
        <w:rPr>
          <w:rFonts w:ascii="Calibri" w:eastAsia="Calibri" w:hAnsi="Calibri" w:cs="Calibri"/>
          <w:color w:val="000000"/>
          <w:lang w:bidi="en-US"/>
        </w:rPr>
        <w:tab/>
        <w:t>for the timely and due payment by the Company of</w:t>
      </w:r>
      <w:r w:rsidR="00222097">
        <w:rPr>
          <w:rFonts w:ascii="Calibri" w:eastAsia="Calibri" w:hAnsi="Calibri" w:cs="Calibri"/>
          <w:color w:val="000000"/>
          <w:lang w:bidi="en-US"/>
        </w:rPr>
        <w:t xml:space="preserve"> </w:t>
      </w:r>
      <w:r w:rsidRPr="00192F18">
        <w:rPr>
          <w:rFonts w:ascii="Calibri" w:eastAsia="Calibri" w:hAnsi="Calibri" w:cs="Calibri"/>
          <w:color w:val="000000"/>
          <w:lang w:bidi="en-US"/>
        </w:rPr>
        <w:t>its obligations resulting from or arising out of or in connection with the Agreement.</w:t>
      </w:r>
    </w:p>
    <w:p w14:paraId="58CAEDF2" w14:textId="77777777" w:rsidR="00192F18" w:rsidRPr="00192F18" w:rsidRDefault="00192F18" w:rsidP="00192F18">
      <w:pPr>
        <w:widowControl w:val="0"/>
        <w:spacing w:line="257" w:lineRule="auto"/>
        <w:jc w:val="both"/>
        <w:rPr>
          <w:rFonts w:ascii="Calibri" w:eastAsia="Calibri" w:hAnsi="Calibri" w:cs="Calibri"/>
          <w:color w:val="000000"/>
          <w:lang w:bidi="en-US"/>
        </w:rPr>
      </w:pPr>
      <w:r w:rsidRPr="00192F18">
        <w:rPr>
          <w:rFonts w:ascii="Calibri" w:eastAsia="Calibri" w:hAnsi="Calibri" w:cs="Calibri"/>
          <w:color w:val="000000"/>
          <w:lang w:bidi="en-US"/>
        </w:rPr>
        <w:t>The amount mentioned above shall be kept at your disposal and shall be paid, on first demand, without any deduction or set-off of any kind or objection and offering no excuse, in whole or in part, upon the receipt of your simple written payment demand and upon return of guarantee, without having to substantiate your demand. Payment under this guarantee shall be made by wire transfer of immediately available funds to the account specified in your payment demand.</w:t>
      </w:r>
    </w:p>
    <w:p w14:paraId="7C173A59" w14:textId="77777777" w:rsidR="00192F18" w:rsidRPr="00192F18" w:rsidRDefault="00192F18" w:rsidP="00192F18">
      <w:pPr>
        <w:widowControl w:val="0"/>
        <w:spacing w:line="254" w:lineRule="auto"/>
        <w:jc w:val="both"/>
        <w:rPr>
          <w:rFonts w:ascii="Calibri" w:eastAsia="Calibri" w:hAnsi="Calibri" w:cs="Calibri"/>
          <w:color w:val="000000"/>
          <w:lang w:bidi="en-US"/>
        </w:rPr>
      </w:pPr>
      <w:r w:rsidRPr="00192F18">
        <w:rPr>
          <w:rFonts w:ascii="Calibri" w:eastAsia="Calibri" w:hAnsi="Calibri" w:cs="Calibri"/>
          <w:color w:val="000000"/>
          <w:lang w:bidi="en-US"/>
        </w:rPr>
        <w:t xml:space="preserve">If we receive a partial payment demand as per above, then this guarantee shall be forfeited for that part of the primary debt that remains unpaid, which shall be immediately paid to you as per above, and this letter of guarantee shall be returned to you and remain valid thereafter for the remaining amount covered. Our above obligation shall remain in </w:t>
      </w:r>
      <w:proofErr w:type="gramStart"/>
      <w:r w:rsidRPr="00192F18">
        <w:rPr>
          <w:rFonts w:ascii="Calibri" w:eastAsia="Calibri" w:hAnsi="Calibri" w:cs="Calibri"/>
          <w:color w:val="000000"/>
          <w:lang w:bidi="en-US"/>
        </w:rPr>
        <w:t>force</w:t>
      </w:r>
      <w:proofErr w:type="gramEnd"/>
      <w:r w:rsidRPr="00192F18">
        <w:rPr>
          <w:rFonts w:ascii="Calibri" w:eastAsia="Calibri" w:hAnsi="Calibri" w:cs="Calibri"/>
          <w:color w:val="000000"/>
          <w:lang w:bidi="en-US"/>
        </w:rPr>
        <w:t xml:space="preserve"> and we shall have no right to refuse payment and no right to raise any objections, either on our behalf or on the behalf of the Company in favor of which this letter of guarantee is being issued or on behalf of any third party. DESFA shall not be incurred with taxes, levies or any charge related to a call on this letter of guarantee.</w:t>
      </w:r>
    </w:p>
    <w:p w14:paraId="33ADE250" w14:textId="40420D98" w:rsidR="00192F18" w:rsidRPr="00192F18" w:rsidRDefault="00192F18" w:rsidP="00222097">
      <w:pPr>
        <w:widowControl w:val="0"/>
        <w:tabs>
          <w:tab w:val="right" w:leader="dot" w:pos="7326"/>
          <w:tab w:val="left" w:pos="7490"/>
        </w:tabs>
        <w:spacing w:line="254" w:lineRule="auto"/>
        <w:jc w:val="both"/>
        <w:rPr>
          <w:rFonts w:ascii="Calibri" w:eastAsia="Calibri" w:hAnsi="Calibri" w:cs="Calibri"/>
          <w:color w:val="000000"/>
          <w:lang w:bidi="en-US"/>
        </w:rPr>
      </w:pPr>
      <w:r w:rsidRPr="00192F18">
        <w:rPr>
          <w:rFonts w:ascii="Calibri" w:eastAsia="Calibri" w:hAnsi="Calibri" w:cs="Calibri"/>
          <w:color w:val="000000"/>
          <w:lang w:bidi="en-US"/>
        </w:rPr>
        <w:t>This Letter of Guarantee shall remain valid strictly until</w:t>
      </w:r>
      <w:r w:rsidR="00D56F83">
        <w:rPr>
          <w:rFonts w:ascii="Calibri" w:eastAsia="Calibri" w:hAnsi="Calibri" w:cs="Calibri"/>
          <w:color w:val="000000"/>
          <w:lang w:bidi="en-US"/>
        </w:rPr>
        <w:t xml:space="preserve"> …………………</w:t>
      </w:r>
      <w:proofErr w:type="gramStart"/>
      <w:r w:rsidR="00D56F83">
        <w:rPr>
          <w:rFonts w:ascii="Calibri" w:eastAsia="Calibri" w:hAnsi="Calibri" w:cs="Calibri"/>
          <w:color w:val="000000"/>
          <w:lang w:bidi="en-US"/>
        </w:rPr>
        <w:t>…..</w:t>
      </w:r>
      <w:proofErr w:type="gramEnd"/>
      <w:r w:rsidRPr="00192F18">
        <w:rPr>
          <w:rFonts w:ascii="Calibri" w:eastAsia="Calibri" w:hAnsi="Calibri" w:cs="Calibri"/>
          <w:color w:val="000000"/>
          <w:lang w:bidi="en-US"/>
        </w:rPr>
        <w:t>,</w:t>
      </w:r>
      <w:r w:rsidRPr="00192F18">
        <w:rPr>
          <w:rFonts w:ascii="Calibri" w:eastAsia="Calibri" w:hAnsi="Calibri" w:cs="Calibri"/>
          <w:color w:val="000000"/>
          <w:lang w:bidi="en-US"/>
        </w:rPr>
        <w:tab/>
      </w:r>
      <w:r w:rsidR="00D56F83">
        <w:rPr>
          <w:rFonts w:ascii="Calibri" w:eastAsia="Calibri" w:hAnsi="Calibri" w:cs="Calibri"/>
          <w:color w:val="000000"/>
          <w:lang w:bidi="en-US"/>
        </w:rPr>
        <w:t xml:space="preserve"> </w:t>
      </w:r>
      <w:r w:rsidRPr="00192F18">
        <w:rPr>
          <w:rFonts w:ascii="Calibri" w:eastAsia="Calibri" w:hAnsi="Calibri" w:cs="Calibri"/>
          <w:color w:val="000000"/>
          <w:lang w:bidi="en-US"/>
        </w:rPr>
        <w:t>12:00 hours</w:t>
      </w:r>
      <w:r w:rsidR="00D56F83">
        <w:rPr>
          <w:rFonts w:ascii="Calibri" w:eastAsia="Calibri" w:hAnsi="Calibri" w:cs="Calibri"/>
          <w:color w:val="000000"/>
          <w:lang w:bidi="en-US"/>
        </w:rPr>
        <w:t xml:space="preserve">; </w:t>
      </w:r>
      <w:r w:rsidRPr="00192F18">
        <w:rPr>
          <w:rFonts w:ascii="Calibri" w:eastAsia="Calibri" w:hAnsi="Calibri" w:cs="Calibri"/>
          <w:color w:val="000000"/>
          <w:lang w:bidi="en-US"/>
        </w:rPr>
        <w:t>past this</w:t>
      </w:r>
      <w:r w:rsidR="00222097">
        <w:rPr>
          <w:rFonts w:ascii="Calibri" w:eastAsia="Calibri" w:hAnsi="Calibri" w:cs="Calibri"/>
          <w:color w:val="000000"/>
          <w:lang w:bidi="en-US"/>
        </w:rPr>
        <w:t xml:space="preserve"> </w:t>
      </w:r>
      <w:r w:rsidRPr="00192F18">
        <w:rPr>
          <w:rFonts w:ascii="Calibri" w:eastAsia="Calibri" w:hAnsi="Calibri" w:cs="Calibri"/>
          <w:color w:val="000000"/>
          <w:lang w:bidi="en-US"/>
        </w:rPr>
        <w:t xml:space="preserve">deadline and provided that we have not been made aware of any claims by you over the amount of </w:t>
      </w:r>
      <w:r w:rsidRPr="00192F18">
        <w:rPr>
          <w:rFonts w:ascii="Calibri" w:eastAsia="Calibri" w:hAnsi="Calibri" w:cs="Calibri"/>
          <w:color w:val="000000"/>
          <w:lang w:bidi="en-US"/>
        </w:rPr>
        <w:lastRenderedPageBreak/>
        <w:t>the guarantee, as mentioned above, this letter of guarantee shall automatically become null and void. We also certify that all letters of guarantee that have been issued by us and are in force, including also present Letter of Guarantee, doesn’t exceed the upper limit for our Bank regarding the provision of guarantees, stipulated by the applicable legislation.</w:t>
      </w:r>
    </w:p>
    <w:p w14:paraId="30CFDED8" w14:textId="676BD9FB" w:rsidR="00192F18" w:rsidRPr="00192F18" w:rsidRDefault="00192F18" w:rsidP="00192F18">
      <w:pPr>
        <w:widowControl w:val="0"/>
        <w:spacing w:after="600" w:line="254" w:lineRule="auto"/>
        <w:jc w:val="both"/>
        <w:rPr>
          <w:rFonts w:ascii="Calibri" w:eastAsia="Calibri" w:hAnsi="Calibri" w:cs="Calibri"/>
          <w:color w:val="000000"/>
          <w:lang w:bidi="en-US"/>
        </w:rPr>
      </w:pPr>
      <w:r w:rsidRPr="00192F18">
        <w:rPr>
          <w:rFonts w:ascii="Calibri" w:eastAsia="Calibri" w:hAnsi="Calibri" w:cs="Calibri"/>
          <w:color w:val="000000"/>
          <w:lang w:bidi="en-US"/>
        </w:rPr>
        <w:t>The present letter of guarantee shall be governed by the Greek Law; the Courts of Athens are exclusively competent to resolve any conflict arising therefrom.</w:t>
      </w:r>
    </w:p>
    <w:p w14:paraId="31A4DEC2" w14:textId="77777777" w:rsidR="00192F18" w:rsidRPr="00192F18" w:rsidRDefault="00192F18" w:rsidP="00192F18">
      <w:pPr>
        <w:widowControl w:val="0"/>
        <w:spacing w:line="254" w:lineRule="auto"/>
        <w:jc w:val="both"/>
        <w:rPr>
          <w:rFonts w:ascii="Calibri" w:eastAsia="Calibri" w:hAnsi="Calibri" w:cs="Calibri"/>
          <w:color w:val="000000"/>
          <w:lang w:bidi="en-US"/>
        </w:rPr>
      </w:pPr>
      <w:r w:rsidRPr="00192F18">
        <w:rPr>
          <w:rFonts w:ascii="Calibri" w:eastAsia="Calibri" w:hAnsi="Calibri" w:cs="Calibri"/>
          <w:i/>
          <w:iCs/>
          <w:color w:val="000000"/>
          <w:lang w:bidi="en-US"/>
        </w:rPr>
        <w:t>[name of issuing bank],</w:t>
      </w:r>
    </w:p>
    <w:p w14:paraId="620AA3E1" w14:textId="19E2BF18" w:rsidR="00192F18" w:rsidRPr="00192F18" w:rsidRDefault="00192F18" w:rsidP="00192F18">
      <w:pPr>
        <w:widowControl w:val="0"/>
        <w:spacing w:after="3280" w:line="254" w:lineRule="auto"/>
        <w:jc w:val="both"/>
        <w:rPr>
          <w:rFonts w:ascii="Calibri" w:eastAsia="Calibri" w:hAnsi="Calibri" w:cs="Calibri"/>
          <w:color w:val="000000"/>
          <w:lang w:bidi="en-US"/>
        </w:rPr>
      </w:pPr>
      <w:r w:rsidRPr="00192F18">
        <w:rPr>
          <w:rFonts w:ascii="Calibri" w:eastAsia="Calibri" w:hAnsi="Calibri" w:cs="Calibri"/>
          <w:color w:val="000000"/>
          <w:lang w:bidi="en-US"/>
        </w:rPr>
        <w:t>In witness whereof, this Guarantee has been executed and delivered as a deed on the above</w:t>
      </w:r>
      <w:r w:rsidRPr="00192F18">
        <w:rPr>
          <w:rFonts w:ascii="Calibri" w:eastAsia="Calibri" w:hAnsi="Calibri" w:cs="Calibri"/>
          <w:color w:val="000000"/>
          <w:lang w:bidi="en-US"/>
        </w:rPr>
        <w:softHyphen/>
        <w:t>mentioned date.</w:t>
      </w:r>
      <w:bookmarkEnd w:id="76"/>
      <w:r>
        <w:rPr>
          <w:rFonts w:cstheme="minorHAnsi"/>
          <w:sz w:val="24"/>
          <w:szCs w:val="24"/>
        </w:rPr>
        <w:br w:type="page"/>
      </w:r>
    </w:p>
    <w:p w14:paraId="5FD4DEF1" w14:textId="77777777" w:rsidR="001D46A8" w:rsidRPr="00806DEB" w:rsidRDefault="001D46A8" w:rsidP="00806DEB">
      <w:pPr>
        <w:pStyle w:val="Heading3"/>
        <w:pBdr>
          <w:bottom w:val="single" w:sz="4" w:space="1" w:color="auto"/>
        </w:pBdr>
        <w:rPr>
          <w:sz w:val="36"/>
          <w:szCs w:val="36"/>
        </w:rPr>
      </w:pPr>
      <w:bookmarkStart w:id="102" w:name="_Toc71289542"/>
      <w:bookmarkStart w:id="103" w:name="_Toc119485271"/>
      <w:r w:rsidRPr="00806DEB">
        <w:rPr>
          <w:sz w:val="36"/>
          <w:szCs w:val="36"/>
        </w:rPr>
        <w:lastRenderedPageBreak/>
        <w:t>Annex VII - Non-Disclosure Agreement</w:t>
      </w:r>
      <w:bookmarkEnd w:id="102"/>
      <w:bookmarkEnd w:id="103"/>
    </w:p>
    <w:p w14:paraId="0479ABC8" w14:textId="77777777" w:rsidR="001D46A8" w:rsidRPr="001D27C6" w:rsidRDefault="001D46A8" w:rsidP="001D46A8">
      <w:pPr>
        <w:tabs>
          <w:tab w:val="center" w:pos="4680"/>
          <w:tab w:val="right" w:pos="9360"/>
        </w:tabs>
        <w:suppressAutoHyphens/>
        <w:spacing w:after="0" w:line="240" w:lineRule="auto"/>
        <w:rPr>
          <w:rFonts w:eastAsia="Times New Roman" w:cstheme="minorHAnsi"/>
          <w:szCs w:val="20"/>
        </w:rPr>
      </w:pPr>
    </w:p>
    <w:p w14:paraId="4ABFBE2B" w14:textId="77777777" w:rsidR="001D46A8" w:rsidRPr="001171F7" w:rsidRDefault="001D46A8" w:rsidP="001D46A8">
      <w:pPr>
        <w:tabs>
          <w:tab w:val="center" w:pos="4680"/>
          <w:tab w:val="right" w:pos="9360"/>
        </w:tabs>
        <w:suppressAutoHyphens/>
        <w:spacing w:after="0" w:line="240" w:lineRule="auto"/>
        <w:jc w:val="both"/>
        <w:rPr>
          <w:rFonts w:eastAsia="Times New Roman" w:cstheme="minorHAnsi"/>
        </w:rPr>
      </w:pPr>
      <w:r w:rsidRPr="001171F7">
        <w:rPr>
          <w:rFonts w:eastAsia="Times New Roman" w:cstheme="minorHAnsi"/>
        </w:rPr>
        <w:t>This Agreement is entered into force on […] (“</w:t>
      </w:r>
      <w:r w:rsidRPr="001171F7">
        <w:rPr>
          <w:rFonts w:eastAsia="Times New Roman" w:cstheme="minorHAnsi"/>
          <w:b/>
        </w:rPr>
        <w:t>Effective Date</w:t>
      </w:r>
      <w:r w:rsidRPr="001171F7">
        <w:rPr>
          <w:rFonts w:eastAsia="Times New Roman" w:cstheme="minorHAnsi"/>
        </w:rPr>
        <w:t xml:space="preserve">”), between </w:t>
      </w:r>
    </w:p>
    <w:p w14:paraId="38EF5F66" w14:textId="77777777" w:rsidR="001D46A8" w:rsidRPr="001171F7" w:rsidRDefault="001D46A8" w:rsidP="001D46A8">
      <w:pPr>
        <w:tabs>
          <w:tab w:val="center" w:pos="4680"/>
          <w:tab w:val="right" w:pos="9360"/>
        </w:tabs>
        <w:suppressAutoHyphens/>
        <w:spacing w:after="0" w:line="240" w:lineRule="auto"/>
        <w:jc w:val="both"/>
        <w:rPr>
          <w:rFonts w:eastAsia="Times New Roman" w:cstheme="minorHAnsi"/>
        </w:rPr>
      </w:pPr>
    </w:p>
    <w:p w14:paraId="522B957C" w14:textId="77777777" w:rsidR="001D46A8" w:rsidRPr="001171F7" w:rsidRDefault="001D46A8" w:rsidP="001D46A8">
      <w:pPr>
        <w:tabs>
          <w:tab w:val="center" w:pos="4680"/>
          <w:tab w:val="right" w:pos="9360"/>
        </w:tabs>
        <w:suppressAutoHyphens/>
        <w:spacing w:after="0" w:line="240" w:lineRule="auto"/>
        <w:jc w:val="both"/>
        <w:rPr>
          <w:rFonts w:eastAsia="Times New Roman" w:cstheme="minorHAnsi"/>
        </w:rPr>
      </w:pPr>
      <w:r w:rsidRPr="001171F7">
        <w:rPr>
          <w:rFonts w:eastAsia="Times New Roman" w:cstheme="minorHAnsi"/>
        </w:rPr>
        <w:t xml:space="preserve">The </w:t>
      </w:r>
      <w:r w:rsidR="00F26950" w:rsidRPr="001171F7">
        <w:rPr>
          <w:rFonts w:eastAsia="Times New Roman" w:cstheme="minorHAnsi"/>
        </w:rPr>
        <w:t>Société</w:t>
      </w:r>
      <w:r w:rsidRPr="001171F7">
        <w:rPr>
          <w:rFonts w:eastAsia="Times New Roman" w:cstheme="minorHAnsi"/>
        </w:rPr>
        <w:t xml:space="preserve"> Anonyme under the Hellenic Gas Transmission System Operator, hereinafter referred to as </w:t>
      </w:r>
      <w:r w:rsidRPr="001171F7">
        <w:rPr>
          <w:rFonts w:eastAsia="Times New Roman" w:cstheme="minorHAnsi"/>
          <w:b/>
        </w:rPr>
        <w:t>“DESFA”</w:t>
      </w:r>
      <w:r w:rsidRPr="001171F7">
        <w:rPr>
          <w:rFonts w:eastAsia="Times New Roman" w:cstheme="minorHAnsi"/>
        </w:rPr>
        <w:t>, incorporated under the laws of …</w:t>
      </w:r>
      <w:proofErr w:type="gramStart"/>
      <w:r w:rsidRPr="001171F7">
        <w:rPr>
          <w:rFonts w:eastAsia="Times New Roman" w:cstheme="minorHAnsi"/>
        </w:rPr>
        <w:t>….…..</w:t>
      </w:r>
      <w:proofErr w:type="gramEnd"/>
      <w:r w:rsidRPr="001171F7">
        <w:rPr>
          <w:rFonts w:eastAsia="Times New Roman" w:cstheme="minorHAnsi"/>
        </w:rPr>
        <w:t xml:space="preserve">, having its headquarters and registered office at …………….., registered under the registration number ………………duly represented by………………………., ……………… and </w:t>
      </w:r>
    </w:p>
    <w:p w14:paraId="6D12902F" w14:textId="77777777" w:rsidR="001D46A8" w:rsidRPr="001171F7" w:rsidRDefault="001D46A8" w:rsidP="001D46A8">
      <w:pPr>
        <w:tabs>
          <w:tab w:val="center" w:pos="4680"/>
          <w:tab w:val="right" w:pos="9360"/>
        </w:tabs>
        <w:suppressAutoHyphens/>
        <w:spacing w:after="0" w:line="240" w:lineRule="auto"/>
        <w:jc w:val="both"/>
        <w:rPr>
          <w:rFonts w:eastAsia="Times New Roman" w:cstheme="minorHAnsi"/>
        </w:rPr>
      </w:pPr>
    </w:p>
    <w:p w14:paraId="7C32489E" w14:textId="77777777" w:rsidR="001D46A8" w:rsidRPr="001171F7" w:rsidRDefault="001D46A8" w:rsidP="001D46A8">
      <w:pPr>
        <w:tabs>
          <w:tab w:val="center" w:pos="4680"/>
          <w:tab w:val="right" w:pos="9360"/>
        </w:tabs>
        <w:suppressAutoHyphens/>
        <w:spacing w:after="0" w:line="240" w:lineRule="auto"/>
        <w:jc w:val="both"/>
        <w:rPr>
          <w:rFonts w:eastAsia="Times New Roman" w:cstheme="minorHAnsi"/>
        </w:rPr>
      </w:pPr>
      <w:r w:rsidRPr="001171F7">
        <w:rPr>
          <w:rFonts w:eastAsia="Times New Roman" w:cstheme="minorHAnsi"/>
        </w:rPr>
        <w:t xml:space="preserve">The ………………, hereinafter referred to as </w:t>
      </w:r>
      <w:r w:rsidRPr="001171F7">
        <w:rPr>
          <w:rFonts w:eastAsia="Times New Roman" w:cstheme="minorHAnsi"/>
          <w:b/>
        </w:rPr>
        <w:t>“…………….”</w:t>
      </w:r>
      <w:r w:rsidRPr="001171F7">
        <w:rPr>
          <w:rFonts w:eastAsia="Times New Roman" w:cstheme="minorHAnsi"/>
        </w:rPr>
        <w:t xml:space="preserve"> incorporated under the laws of …</w:t>
      </w:r>
      <w:proofErr w:type="gramStart"/>
      <w:r w:rsidRPr="001171F7">
        <w:rPr>
          <w:rFonts w:eastAsia="Times New Roman" w:cstheme="minorHAnsi"/>
        </w:rPr>
        <w:t>….…..</w:t>
      </w:r>
      <w:proofErr w:type="gramEnd"/>
      <w:r w:rsidRPr="001171F7">
        <w:rPr>
          <w:rFonts w:eastAsia="Times New Roman" w:cstheme="minorHAnsi"/>
        </w:rPr>
        <w:t>, having its headquarters and registered office at …………….., registered under the registration number ………………(duly represented by………………………., ………………</w:t>
      </w:r>
    </w:p>
    <w:p w14:paraId="3018C4D1" w14:textId="77777777" w:rsidR="001D46A8" w:rsidRPr="001171F7" w:rsidRDefault="001D46A8" w:rsidP="001D46A8">
      <w:pPr>
        <w:tabs>
          <w:tab w:val="center" w:pos="4680"/>
          <w:tab w:val="right" w:pos="9360"/>
        </w:tabs>
        <w:suppressAutoHyphens/>
        <w:spacing w:after="0" w:line="240" w:lineRule="auto"/>
        <w:jc w:val="both"/>
        <w:rPr>
          <w:rFonts w:eastAsia="Times New Roman" w:cstheme="minorHAnsi"/>
        </w:rPr>
      </w:pPr>
      <w:r w:rsidRPr="001171F7">
        <w:rPr>
          <w:rFonts w:eastAsia="Times New Roman" w:cstheme="minorHAnsi"/>
        </w:rPr>
        <w:t>each called the “Party” and collectively the “Parties”.</w:t>
      </w:r>
    </w:p>
    <w:p w14:paraId="414363A9" w14:textId="77777777" w:rsidR="001D46A8" w:rsidRPr="001171F7" w:rsidRDefault="001D46A8" w:rsidP="001D46A8">
      <w:pPr>
        <w:tabs>
          <w:tab w:val="center" w:pos="4680"/>
          <w:tab w:val="right" w:pos="9360"/>
        </w:tabs>
        <w:suppressAutoHyphens/>
        <w:spacing w:after="0" w:line="240" w:lineRule="auto"/>
        <w:jc w:val="both"/>
        <w:rPr>
          <w:rFonts w:eastAsia="Times New Roman" w:cstheme="minorHAnsi"/>
          <w:b/>
        </w:rPr>
      </w:pPr>
    </w:p>
    <w:p w14:paraId="51532D26" w14:textId="77777777" w:rsidR="001D46A8" w:rsidRPr="001171F7" w:rsidRDefault="001D46A8" w:rsidP="001D46A8">
      <w:pPr>
        <w:suppressAutoHyphens/>
        <w:spacing w:after="0" w:line="260" w:lineRule="exact"/>
        <w:jc w:val="both"/>
        <w:rPr>
          <w:rFonts w:eastAsia="Times New Roman" w:cstheme="minorHAnsi"/>
        </w:rPr>
      </w:pPr>
    </w:p>
    <w:p w14:paraId="7EF7F413" w14:textId="77777777"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WHEREAS</w:t>
      </w:r>
    </w:p>
    <w:p w14:paraId="095B84FA" w14:textId="77777777" w:rsidR="001D46A8" w:rsidRPr="001171F7" w:rsidRDefault="001D46A8" w:rsidP="001D46A8">
      <w:pPr>
        <w:suppressAutoHyphens/>
        <w:spacing w:after="0" w:line="260" w:lineRule="exact"/>
        <w:jc w:val="both"/>
        <w:rPr>
          <w:rFonts w:eastAsia="Times New Roman" w:cstheme="minorHAnsi"/>
        </w:rPr>
      </w:pPr>
    </w:p>
    <w:p w14:paraId="170918E7" w14:textId="30F274EE" w:rsidR="001D46A8" w:rsidRPr="001171F7" w:rsidRDefault="001D46A8" w:rsidP="001D46A8">
      <w:pPr>
        <w:suppressAutoHyphens/>
        <w:spacing w:after="0" w:line="276" w:lineRule="auto"/>
        <w:jc w:val="both"/>
        <w:rPr>
          <w:rFonts w:eastAsia="Times New Roman" w:cstheme="minorHAnsi"/>
        </w:rPr>
      </w:pPr>
      <w:r w:rsidRPr="001171F7">
        <w:rPr>
          <w:rFonts w:eastAsia="Times New Roman" w:cstheme="minorHAnsi"/>
        </w:rPr>
        <w:t xml:space="preserve">(A) DESFA is the operator of the National Natural Gas Transmission System (the “NNGS”) on the territory of the Hellenic </w:t>
      </w:r>
      <w:proofErr w:type="gramStart"/>
      <w:r w:rsidRPr="001171F7">
        <w:rPr>
          <w:rFonts w:eastAsia="Times New Roman" w:cstheme="minorHAnsi"/>
        </w:rPr>
        <w:t>Republic;</w:t>
      </w:r>
      <w:proofErr w:type="gramEnd"/>
    </w:p>
    <w:p w14:paraId="530D2498" w14:textId="77777777" w:rsidR="001D46A8" w:rsidRPr="007B52CF" w:rsidRDefault="001D46A8" w:rsidP="001D46A8">
      <w:pPr>
        <w:suppressAutoHyphens/>
        <w:spacing w:after="0" w:line="276" w:lineRule="auto"/>
        <w:jc w:val="both"/>
        <w:rPr>
          <w:rFonts w:eastAsia="Times New Roman" w:cstheme="minorHAnsi"/>
        </w:rPr>
      </w:pPr>
    </w:p>
    <w:p w14:paraId="3A41AA6B" w14:textId="498B88D3" w:rsidR="001D46A8" w:rsidRPr="001171F7" w:rsidRDefault="001D46A8" w:rsidP="001D46A8">
      <w:pPr>
        <w:suppressAutoHyphens/>
        <w:spacing w:after="0" w:line="276" w:lineRule="auto"/>
        <w:jc w:val="both"/>
        <w:rPr>
          <w:rFonts w:cstheme="minorHAnsi"/>
        </w:rPr>
      </w:pPr>
      <w:r w:rsidRPr="001171F7">
        <w:rPr>
          <w:rFonts w:cstheme="minorHAnsi"/>
        </w:rPr>
        <w:t>(B) In regard to the Binding Biding Phase for the 20</w:t>
      </w:r>
      <w:r w:rsidR="00FA0670">
        <w:rPr>
          <w:rFonts w:cstheme="minorHAnsi"/>
        </w:rPr>
        <w:t>21</w:t>
      </w:r>
      <w:r w:rsidRPr="001171F7">
        <w:rPr>
          <w:rFonts w:cstheme="minorHAnsi"/>
        </w:rPr>
        <w:t xml:space="preserve"> Incremental Capacity Process carried out jointly by </w:t>
      </w:r>
      <w:proofErr w:type="spellStart"/>
      <w:r w:rsidRPr="001171F7">
        <w:rPr>
          <w:rFonts w:cstheme="minorHAnsi"/>
        </w:rPr>
        <w:t>Snam</w:t>
      </w:r>
      <w:proofErr w:type="spellEnd"/>
      <w:r w:rsidRPr="001171F7">
        <w:rPr>
          <w:rFonts w:cstheme="minorHAnsi"/>
        </w:rPr>
        <w:t xml:space="preserve"> Rete Gas (SRG), Trans Adriatic Pipeline (TAP) and DESFA, DESFA issued an invitation to interested entities to submit binding requests for booking transmission Capacity at DESFA side of the </w:t>
      </w:r>
      <w:proofErr w:type="spellStart"/>
      <w:r w:rsidRPr="001171F7">
        <w:rPr>
          <w:rFonts w:cstheme="minorHAnsi"/>
        </w:rPr>
        <w:t>Nea</w:t>
      </w:r>
      <w:proofErr w:type="spellEnd"/>
      <w:r w:rsidRPr="001171F7">
        <w:rPr>
          <w:rFonts w:cstheme="minorHAnsi"/>
        </w:rPr>
        <w:t xml:space="preserve"> Mesimvria IP according to the Project Proposal approved by RAE by its </w:t>
      </w:r>
      <w:r w:rsidR="00583063">
        <w:rPr>
          <w:rFonts w:cstheme="minorHAnsi"/>
        </w:rPr>
        <w:t>D</w:t>
      </w:r>
      <w:r w:rsidRPr="001171F7">
        <w:rPr>
          <w:rFonts w:cstheme="minorHAnsi"/>
        </w:rPr>
        <w:t xml:space="preserve">ecision no </w:t>
      </w:r>
      <w:r w:rsidR="00583063">
        <w:rPr>
          <w:rFonts w:cstheme="minorHAnsi"/>
        </w:rPr>
        <w:t>818/2022</w:t>
      </w:r>
      <w:r w:rsidR="00583063" w:rsidRPr="001171F7">
        <w:rPr>
          <w:rFonts w:cstheme="minorHAnsi"/>
        </w:rPr>
        <w:t xml:space="preserve"> </w:t>
      </w:r>
      <w:r w:rsidRPr="001171F7">
        <w:rPr>
          <w:rFonts w:cstheme="minorHAnsi"/>
        </w:rPr>
        <w:t xml:space="preserve">(Project Proposal) and the necessary information provided by DESFA and in the Joint </w:t>
      </w:r>
      <w:proofErr w:type="gramStart"/>
      <w:r w:rsidRPr="001171F7">
        <w:rPr>
          <w:rFonts w:cstheme="minorHAnsi"/>
        </w:rPr>
        <w:t>Notice;</w:t>
      </w:r>
      <w:proofErr w:type="gramEnd"/>
    </w:p>
    <w:p w14:paraId="0433A47D" w14:textId="77777777" w:rsidR="001D46A8" w:rsidRPr="001171F7" w:rsidRDefault="001D46A8" w:rsidP="001D46A8">
      <w:pPr>
        <w:suppressAutoHyphens/>
        <w:spacing w:after="0" w:line="276" w:lineRule="auto"/>
        <w:jc w:val="both"/>
        <w:rPr>
          <w:rFonts w:cstheme="minorHAnsi"/>
        </w:rPr>
      </w:pPr>
    </w:p>
    <w:p w14:paraId="4C3A0C2D" w14:textId="77777777" w:rsidR="001D46A8" w:rsidRPr="001171F7" w:rsidRDefault="001D46A8" w:rsidP="001D46A8">
      <w:pPr>
        <w:suppressAutoHyphens/>
        <w:spacing w:after="0" w:line="276" w:lineRule="auto"/>
        <w:jc w:val="both"/>
        <w:rPr>
          <w:rFonts w:eastAsia="Times New Roman" w:cstheme="minorHAnsi"/>
        </w:rPr>
      </w:pPr>
      <w:r w:rsidRPr="001171F7">
        <w:rPr>
          <w:rFonts w:eastAsia="Times New Roman" w:cstheme="minorHAnsi"/>
        </w:rPr>
        <w:t xml:space="preserve">(C) [………….] intends to participate to the Incremental Capacity Process as a Participant according to the </w:t>
      </w:r>
      <w:r w:rsidRPr="001171F7">
        <w:rPr>
          <w:rFonts w:cstheme="minorHAnsi"/>
        </w:rPr>
        <w:t xml:space="preserve">Project Proposal, </w:t>
      </w:r>
      <w:r w:rsidRPr="001171F7">
        <w:rPr>
          <w:rFonts w:eastAsia="Times New Roman" w:cstheme="minorHAnsi"/>
        </w:rPr>
        <w:t xml:space="preserve">and </w:t>
      </w:r>
      <w:r w:rsidRPr="001171F7">
        <w:rPr>
          <w:rFonts w:cstheme="minorHAnsi"/>
        </w:rPr>
        <w:t xml:space="preserve">the Joint </w:t>
      </w:r>
      <w:proofErr w:type="gramStart"/>
      <w:r w:rsidRPr="001171F7">
        <w:rPr>
          <w:rFonts w:cstheme="minorHAnsi"/>
        </w:rPr>
        <w:t>Notice</w:t>
      </w:r>
      <w:r w:rsidRPr="001171F7">
        <w:rPr>
          <w:rFonts w:eastAsia="Times New Roman" w:cstheme="minorHAnsi"/>
        </w:rPr>
        <w:t>;</w:t>
      </w:r>
      <w:proofErr w:type="gramEnd"/>
    </w:p>
    <w:p w14:paraId="69F20019" w14:textId="77777777" w:rsidR="001D46A8" w:rsidRPr="001171F7" w:rsidRDefault="001D46A8" w:rsidP="001D46A8">
      <w:pPr>
        <w:suppressAutoHyphens/>
        <w:spacing w:after="0" w:line="260" w:lineRule="exact"/>
        <w:jc w:val="both"/>
        <w:rPr>
          <w:rFonts w:eastAsia="Times New Roman" w:cstheme="minorHAnsi"/>
        </w:rPr>
      </w:pPr>
    </w:p>
    <w:p w14:paraId="03FAB28D" w14:textId="77777777"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 xml:space="preserve">(D) In connection with the Incremental Capacity Process according to the </w:t>
      </w:r>
      <w:r w:rsidRPr="001171F7">
        <w:rPr>
          <w:rFonts w:cstheme="minorHAnsi"/>
        </w:rPr>
        <w:t>Project Proposal, the Joint Notice</w:t>
      </w:r>
      <w:r w:rsidRPr="001171F7">
        <w:rPr>
          <w:rFonts w:eastAsia="Times New Roman" w:cstheme="minorHAnsi"/>
        </w:rPr>
        <w:t xml:space="preserve"> and the Notice it may be necessary for each Party, to disclose to the other Party or the concerned TSO’s information a Party considers to be confidential, which may be communicated orally, in document form, by demonstration or </w:t>
      </w:r>
      <w:proofErr w:type="gramStart"/>
      <w:r w:rsidRPr="001171F7">
        <w:rPr>
          <w:rFonts w:eastAsia="Times New Roman" w:cstheme="minorHAnsi"/>
        </w:rPr>
        <w:t>otherwise;</w:t>
      </w:r>
      <w:proofErr w:type="gramEnd"/>
    </w:p>
    <w:p w14:paraId="43A07B2D" w14:textId="77777777" w:rsidR="001D46A8" w:rsidRPr="001171F7" w:rsidRDefault="001D46A8" w:rsidP="001D46A8">
      <w:pPr>
        <w:suppressAutoHyphens/>
        <w:spacing w:after="0" w:line="260" w:lineRule="exact"/>
        <w:jc w:val="both"/>
        <w:rPr>
          <w:rFonts w:eastAsia="Times New Roman" w:cstheme="minorHAnsi"/>
        </w:rPr>
      </w:pPr>
    </w:p>
    <w:p w14:paraId="7EA250C6" w14:textId="77777777"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(E) the Parties agree to undertake obligations regarding non-disclosure and utilization of Confidential information (</w:t>
      </w:r>
      <w:r w:rsidRPr="001171F7">
        <w:rPr>
          <w:rFonts w:eastAsia="Times New Roman" w:cstheme="minorHAnsi"/>
          <w:b/>
        </w:rPr>
        <w:t>“Agreement”</w:t>
      </w:r>
      <w:r w:rsidRPr="001171F7">
        <w:rPr>
          <w:rFonts w:eastAsia="Times New Roman" w:cstheme="minorHAnsi"/>
        </w:rPr>
        <w:t>).</w:t>
      </w:r>
    </w:p>
    <w:p w14:paraId="3401BD8F" w14:textId="77777777" w:rsidR="001D46A8" w:rsidRPr="001171F7" w:rsidRDefault="001D46A8" w:rsidP="001D46A8">
      <w:pPr>
        <w:suppressAutoHyphens/>
        <w:spacing w:after="0" w:line="260" w:lineRule="exact"/>
        <w:jc w:val="both"/>
        <w:rPr>
          <w:rFonts w:eastAsia="Times New Roman" w:cstheme="minorHAnsi"/>
        </w:rPr>
      </w:pPr>
    </w:p>
    <w:p w14:paraId="41D1D3B7" w14:textId="77777777" w:rsidR="001D46A8" w:rsidRPr="001171F7" w:rsidRDefault="001D46A8" w:rsidP="001D46A8">
      <w:pPr>
        <w:suppressAutoHyphens/>
        <w:spacing w:after="0" w:line="260" w:lineRule="exact"/>
        <w:jc w:val="both"/>
        <w:rPr>
          <w:rFonts w:eastAsia="Times New Roman" w:cstheme="minorHAnsi"/>
        </w:rPr>
      </w:pPr>
    </w:p>
    <w:p w14:paraId="29B3F93C" w14:textId="77777777"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THEREFORE, the Parties agree as follows:</w:t>
      </w:r>
    </w:p>
    <w:p w14:paraId="786D3FE5" w14:textId="77777777" w:rsidR="001D46A8" w:rsidRPr="001171F7" w:rsidRDefault="001D46A8" w:rsidP="001D46A8">
      <w:pPr>
        <w:suppressAutoHyphens/>
        <w:spacing w:after="0" w:line="260" w:lineRule="exact"/>
        <w:jc w:val="both"/>
        <w:rPr>
          <w:rFonts w:eastAsia="Times New Roman" w:cstheme="minorHAnsi"/>
        </w:rPr>
      </w:pPr>
    </w:p>
    <w:p w14:paraId="123930E0" w14:textId="472E6470" w:rsidR="001D46A8" w:rsidRDefault="001D46A8" w:rsidP="001D46A8">
      <w:pPr>
        <w:suppressAutoHyphens/>
        <w:spacing w:after="0" w:line="260" w:lineRule="exact"/>
        <w:jc w:val="both"/>
        <w:rPr>
          <w:rFonts w:eastAsia="Times New Roman" w:cstheme="minorHAnsi"/>
          <w:b/>
          <w:lang w:val="en-GB"/>
        </w:rPr>
      </w:pPr>
    </w:p>
    <w:p w14:paraId="7E5A3C30" w14:textId="77777777" w:rsidR="00C12CCB" w:rsidRPr="001171F7" w:rsidRDefault="00C12CCB" w:rsidP="001D46A8">
      <w:pPr>
        <w:suppressAutoHyphens/>
        <w:spacing w:after="0" w:line="260" w:lineRule="exact"/>
        <w:jc w:val="both"/>
        <w:rPr>
          <w:rFonts w:eastAsia="Times New Roman" w:cstheme="minorHAnsi"/>
          <w:b/>
          <w:lang w:val="en-GB"/>
        </w:rPr>
      </w:pPr>
    </w:p>
    <w:p w14:paraId="3714BE71" w14:textId="77777777" w:rsidR="001D46A8" w:rsidRPr="001171F7" w:rsidRDefault="001D46A8" w:rsidP="001D46A8">
      <w:pPr>
        <w:suppressAutoHyphens/>
        <w:spacing w:after="0" w:line="260" w:lineRule="exact"/>
        <w:jc w:val="both"/>
        <w:rPr>
          <w:rFonts w:eastAsia="Times New Roman" w:cstheme="minorHAnsi"/>
          <w:b/>
          <w:lang w:val="en-GB"/>
        </w:rPr>
      </w:pPr>
      <w:r w:rsidRPr="001171F7">
        <w:rPr>
          <w:rFonts w:eastAsia="Times New Roman" w:cstheme="minorHAnsi"/>
          <w:b/>
          <w:lang w:val="en-GB"/>
        </w:rPr>
        <w:t>1. DEFINITIONS</w:t>
      </w:r>
    </w:p>
    <w:p w14:paraId="31DAD051" w14:textId="77777777" w:rsidR="001D46A8" w:rsidRPr="001171F7" w:rsidRDefault="001D46A8" w:rsidP="001D46A8">
      <w:pPr>
        <w:widowControl w:val="0"/>
        <w:suppressAutoHyphens/>
        <w:spacing w:after="120" w:line="360" w:lineRule="auto"/>
        <w:contextualSpacing/>
        <w:jc w:val="both"/>
        <w:rPr>
          <w:rFonts w:cstheme="minorHAnsi"/>
        </w:rPr>
      </w:pPr>
    </w:p>
    <w:p w14:paraId="3276700B" w14:textId="5E78B403" w:rsidR="001D46A8" w:rsidRPr="001171F7" w:rsidRDefault="001D46A8" w:rsidP="001D46A8">
      <w:pPr>
        <w:widowControl w:val="0"/>
        <w:suppressAutoHyphens/>
        <w:spacing w:after="120" w:line="276" w:lineRule="auto"/>
        <w:contextualSpacing/>
        <w:jc w:val="both"/>
        <w:rPr>
          <w:rFonts w:eastAsia="Times New Roman" w:cstheme="minorHAnsi"/>
        </w:rPr>
      </w:pPr>
      <w:r w:rsidRPr="001171F7">
        <w:rPr>
          <w:rFonts w:cstheme="minorHAnsi"/>
        </w:rPr>
        <w:t xml:space="preserve">1.1. </w:t>
      </w:r>
      <w:r w:rsidRPr="000A0855">
        <w:rPr>
          <w:rFonts w:cstheme="minorHAnsi"/>
        </w:rPr>
        <w:t xml:space="preserve">All </w:t>
      </w:r>
      <w:r w:rsidRPr="000A0855">
        <w:rPr>
          <w:rFonts w:eastAsia="Times New Roman" w:cstheme="minorHAnsi"/>
        </w:rPr>
        <w:t xml:space="preserve">capitalized terms in this Agreement have the meaning provided for in the Project Proposal approved by </w:t>
      </w:r>
      <w:r w:rsidR="000E14E1">
        <w:rPr>
          <w:rFonts w:eastAsia="Times New Roman" w:cstheme="minorHAnsi"/>
        </w:rPr>
        <w:t>D</w:t>
      </w:r>
      <w:r w:rsidRPr="003A3341">
        <w:rPr>
          <w:rFonts w:eastAsia="Times New Roman" w:cstheme="minorHAnsi"/>
        </w:rPr>
        <w:t xml:space="preserve">ecision no </w:t>
      </w:r>
      <w:r w:rsidR="000A0855" w:rsidRPr="003A3341">
        <w:rPr>
          <w:rFonts w:eastAsia="Times New Roman" w:cstheme="minorHAnsi"/>
        </w:rPr>
        <w:t xml:space="preserve">818 </w:t>
      </w:r>
      <w:r w:rsidR="00D95AE5" w:rsidRPr="003A3341">
        <w:rPr>
          <w:rFonts w:eastAsia="Times New Roman" w:cstheme="minorHAnsi"/>
        </w:rPr>
        <w:t>/202</w:t>
      </w:r>
      <w:r w:rsidR="000A0855" w:rsidRPr="003A3341">
        <w:rPr>
          <w:rFonts w:eastAsia="Times New Roman" w:cstheme="minorHAnsi"/>
        </w:rPr>
        <w:t>2</w:t>
      </w:r>
      <w:r w:rsidR="00D95AE5" w:rsidRPr="003A3341">
        <w:rPr>
          <w:rFonts w:eastAsia="Times New Roman" w:cstheme="minorHAnsi"/>
        </w:rPr>
        <w:t xml:space="preserve"> </w:t>
      </w:r>
      <w:r w:rsidRPr="000A0855">
        <w:rPr>
          <w:rFonts w:eastAsia="Times New Roman" w:cstheme="minorHAnsi"/>
        </w:rPr>
        <w:t xml:space="preserve">of the </w:t>
      </w:r>
      <w:r w:rsidR="009E2B22" w:rsidRPr="000A0855">
        <w:rPr>
          <w:rFonts w:eastAsia="Times New Roman" w:cstheme="minorHAnsi"/>
        </w:rPr>
        <w:t>Hellenic</w:t>
      </w:r>
      <w:r w:rsidR="009E2B22">
        <w:rPr>
          <w:rFonts w:eastAsia="Times New Roman" w:cstheme="minorHAnsi"/>
        </w:rPr>
        <w:t xml:space="preserve"> </w:t>
      </w:r>
      <w:r w:rsidRPr="001171F7">
        <w:rPr>
          <w:rFonts w:eastAsia="Times New Roman" w:cstheme="minorHAnsi"/>
        </w:rPr>
        <w:t>Regulatory Authority f</w:t>
      </w:r>
      <w:r w:rsidR="009E2B22">
        <w:rPr>
          <w:rFonts w:eastAsia="Times New Roman" w:cstheme="minorHAnsi"/>
        </w:rPr>
        <w:t>or</w:t>
      </w:r>
      <w:r w:rsidRPr="001171F7">
        <w:rPr>
          <w:rFonts w:eastAsia="Times New Roman" w:cstheme="minorHAnsi"/>
        </w:rPr>
        <w:t xml:space="preserve"> Energy, the Joint Notice and the DESFA Binding Phase Notice.</w:t>
      </w:r>
    </w:p>
    <w:p w14:paraId="04B52DD1" w14:textId="77777777" w:rsidR="001D46A8" w:rsidRPr="001171F7" w:rsidRDefault="001D46A8" w:rsidP="001D46A8">
      <w:pPr>
        <w:suppressAutoHyphens/>
        <w:spacing w:after="0" w:line="260" w:lineRule="exact"/>
        <w:jc w:val="both"/>
        <w:rPr>
          <w:rFonts w:eastAsia="Times New Roman" w:cstheme="minorHAnsi"/>
          <w:lang w:val="en-GB"/>
        </w:rPr>
      </w:pPr>
      <w:r w:rsidRPr="001171F7">
        <w:rPr>
          <w:rFonts w:eastAsia="Times New Roman" w:cstheme="minorHAnsi"/>
        </w:rPr>
        <w:lastRenderedPageBreak/>
        <w:t>1.2. In addition</w:t>
      </w:r>
      <w:r w:rsidRPr="001171F7">
        <w:rPr>
          <w:rFonts w:eastAsia="Times New Roman" w:cstheme="minorHAnsi"/>
          <w:lang w:val="en-GB"/>
        </w:rPr>
        <w:t xml:space="preserve">, the following capitalized </w:t>
      </w:r>
      <w:proofErr w:type="gramStart"/>
      <w:r w:rsidRPr="001171F7">
        <w:rPr>
          <w:rFonts w:eastAsia="Times New Roman" w:cstheme="minorHAnsi"/>
          <w:lang w:val="en-GB"/>
        </w:rPr>
        <w:t>terms</w:t>
      </w:r>
      <w:proofErr w:type="gramEnd"/>
      <w:r w:rsidRPr="001171F7">
        <w:rPr>
          <w:rFonts w:eastAsia="Times New Roman" w:cstheme="minorHAnsi"/>
          <w:lang w:val="en-GB"/>
        </w:rPr>
        <w:t xml:space="preserve"> and expressions, when used in this Agreement shall have the following meaning: </w:t>
      </w:r>
    </w:p>
    <w:p w14:paraId="35AB59E8" w14:textId="77777777"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lang w:val="en-GB"/>
        </w:rPr>
        <w:t>(a) “</w:t>
      </w:r>
      <w:r w:rsidRPr="001171F7">
        <w:rPr>
          <w:rFonts w:eastAsia="Times New Roman" w:cstheme="minorHAnsi"/>
          <w:b/>
          <w:lang w:val="en-GB"/>
        </w:rPr>
        <w:t>Confidential Information</w:t>
      </w:r>
      <w:r w:rsidRPr="001171F7">
        <w:rPr>
          <w:rFonts w:eastAsia="Times New Roman" w:cstheme="minorHAnsi"/>
          <w:lang w:val="en-GB"/>
        </w:rPr>
        <w:t>” means the information</w:t>
      </w:r>
      <w:r w:rsidRPr="001171F7">
        <w:rPr>
          <w:rFonts w:eastAsia="Times New Roman" w:cstheme="minorHAnsi"/>
        </w:rPr>
        <w:t xml:space="preserve"> and materials</w:t>
      </w:r>
      <w:r w:rsidRPr="001171F7">
        <w:rPr>
          <w:rFonts w:eastAsia="Times New Roman" w:cstheme="minorHAnsi"/>
          <w:lang w:val="en-GB"/>
        </w:rPr>
        <w:t xml:space="preserve"> disclosed,</w:t>
      </w:r>
      <w:r w:rsidRPr="001171F7">
        <w:rPr>
          <w:rFonts w:eastAsia="Times New Roman" w:cstheme="minorHAnsi"/>
        </w:rPr>
        <w:t xml:space="preserve"> during the participation in the Incremental Capacity Process according to the </w:t>
      </w:r>
      <w:r w:rsidRPr="001171F7">
        <w:rPr>
          <w:rFonts w:cstheme="minorHAnsi"/>
        </w:rPr>
        <w:t xml:space="preserve">Project Proposal, </w:t>
      </w:r>
      <w:r w:rsidRPr="001171F7">
        <w:rPr>
          <w:rFonts w:eastAsia="Times New Roman" w:cstheme="minorHAnsi"/>
        </w:rPr>
        <w:t>and</w:t>
      </w:r>
      <w:r w:rsidRPr="001171F7">
        <w:rPr>
          <w:rFonts w:cstheme="minorHAnsi"/>
        </w:rPr>
        <w:t xml:space="preserve"> the Joint Notice</w:t>
      </w:r>
      <w:r w:rsidRPr="001171F7">
        <w:rPr>
          <w:rFonts w:eastAsia="Times New Roman" w:cstheme="minorHAnsi"/>
        </w:rPr>
        <w:t xml:space="preserve"> and subsequently, </w:t>
      </w:r>
      <w:proofErr w:type="gramStart"/>
      <w:r w:rsidRPr="001171F7">
        <w:rPr>
          <w:rFonts w:eastAsia="Times New Roman" w:cstheme="minorHAnsi"/>
        </w:rPr>
        <w:t>directly</w:t>
      </w:r>
      <w:proofErr w:type="gramEnd"/>
      <w:r w:rsidRPr="001171F7">
        <w:rPr>
          <w:rFonts w:eastAsia="Times New Roman" w:cstheme="minorHAnsi"/>
        </w:rPr>
        <w:t xml:space="preserve"> or indirectly, either orally, visually or in writing, by the Disclosing Party to the Recipient for the purposes or the opportunity of the Incremental Capacity Process, provided that such information has been either:</w:t>
      </w:r>
    </w:p>
    <w:p w14:paraId="09A4EEDA" w14:textId="77777777" w:rsidR="001D46A8" w:rsidRPr="001171F7" w:rsidRDefault="001D46A8" w:rsidP="001D46A8">
      <w:pPr>
        <w:suppressAutoHyphens/>
        <w:spacing w:after="0" w:line="260" w:lineRule="exact"/>
        <w:jc w:val="both"/>
        <w:rPr>
          <w:rFonts w:eastAsia="Times New Roman" w:cstheme="minorHAnsi"/>
        </w:rPr>
      </w:pPr>
    </w:p>
    <w:p w14:paraId="176BE54F" w14:textId="77777777"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w:t>
      </w:r>
      <w:proofErr w:type="spellStart"/>
      <w:r w:rsidRPr="001171F7">
        <w:rPr>
          <w:rFonts w:eastAsia="Times New Roman" w:cstheme="minorHAnsi"/>
        </w:rPr>
        <w:t>i</w:t>
      </w:r>
      <w:proofErr w:type="spellEnd"/>
      <w:r w:rsidRPr="001171F7">
        <w:rPr>
          <w:rFonts w:eastAsia="Times New Roman" w:cstheme="minorHAnsi"/>
        </w:rPr>
        <w:t xml:space="preserve">) with regard to written information and other tangible information, clearly marked as “Confidential” or “Business Secret” prior to or at the time of </w:t>
      </w:r>
      <w:proofErr w:type="gramStart"/>
      <w:r w:rsidRPr="001171F7">
        <w:rPr>
          <w:rFonts w:eastAsia="Times New Roman" w:cstheme="minorHAnsi"/>
        </w:rPr>
        <w:t>disclosure;</w:t>
      </w:r>
      <w:proofErr w:type="gramEnd"/>
      <w:r w:rsidRPr="001171F7">
        <w:rPr>
          <w:rFonts w:eastAsia="Times New Roman" w:cstheme="minorHAnsi"/>
        </w:rPr>
        <w:t xml:space="preserve"> </w:t>
      </w:r>
    </w:p>
    <w:p w14:paraId="2148BF73" w14:textId="77777777" w:rsidR="001D46A8" w:rsidRPr="001171F7" w:rsidRDefault="001D46A8" w:rsidP="001D46A8">
      <w:pPr>
        <w:suppressAutoHyphens/>
        <w:spacing w:after="0" w:line="260" w:lineRule="exact"/>
        <w:ind w:left="705"/>
        <w:jc w:val="both"/>
        <w:rPr>
          <w:rFonts w:eastAsia="Times New Roman" w:cstheme="minorHAnsi"/>
        </w:rPr>
      </w:pPr>
    </w:p>
    <w:p w14:paraId="7EE557A5" w14:textId="77777777"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 xml:space="preserve">(ii) </w:t>
      </w:r>
      <w:proofErr w:type="gramStart"/>
      <w:r w:rsidRPr="001171F7">
        <w:rPr>
          <w:rFonts w:eastAsia="Times New Roman" w:cstheme="minorHAnsi"/>
        </w:rPr>
        <w:t>with regard to</w:t>
      </w:r>
      <w:proofErr w:type="gramEnd"/>
      <w:r w:rsidRPr="001171F7">
        <w:rPr>
          <w:rFonts w:eastAsia="Times New Roman" w:cstheme="minorHAnsi"/>
        </w:rPr>
        <w:t xml:space="preserve"> information disclosed orally or visually, clearly identified as confidential prior to, at the time of or immediately after the disclosure.</w:t>
      </w:r>
    </w:p>
    <w:p w14:paraId="3F604FF9" w14:textId="77777777" w:rsidR="001D46A8" w:rsidRPr="001171F7" w:rsidRDefault="001D46A8" w:rsidP="001D46A8">
      <w:pPr>
        <w:suppressAutoHyphens/>
        <w:spacing w:after="0" w:line="260" w:lineRule="exact"/>
        <w:jc w:val="both"/>
        <w:rPr>
          <w:rFonts w:eastAsia="Times New Roman" w:cstheme="minorHAnsi"/>
        </w:rPr>
      </w:pPr>
    </w:p>
    <w:p w14:paraId="6CE8E72F" w14:textId="77777777" w:rsidR="001D46A8" w:rsidRPr="001171F7" w:rsidRDefault="001D46A8" w:rsidP="001D46A8">
      <w:pPr>
        <w:suppressAutoHyphens/>
        <w:spacing w:after="0" w:line="260" w:lineRule="exact"/>
        <w:jc w:val="both"/>
        <w:rPr>
          <w:rFonts w:eastAsia="Times New Roman" w:cstheme="minorHAnsi"/>
          <w:lang w:val="en-GB"/>
        </w:rPr>
      </w:pPr>
      <w:r w:rsidRPr="001171F7">
        <w:rPr>
          <w:rFonts w:eastAsia="Times New Roman" w:cstheme="minorHAnsi"/>
          <w:lang w:val="en-GB"/>
        </w:rPr>
        <w:t xml:space="preserve">Without limiting the generality of the foregoing, Confidential Information includes information and materials related to the </w:t>
      </w:r>
      <w:r w:rsidRPr="001171F7">
        <w:rPr>
          <w:rFonts w:eastAsia="Times New Roman" w:cstheme="minorHAnsi"/>
        </w:rPr>
        <w:t>Incremental Capacity Process</w:t>
      </w:r>
      <w:r w:rsidRPr="001171F7">
        <w:rPr>
          <w:rFonts w:eastAsia="Times New Roman" w:cstheme="minorHAnsi"/>
          <w:lang w:val="en-GB"/>
        </w:rPr>
        <w:t xml:space="preserve">; and financial and business information and any information relating to the business, business plans, </w:t>
      </w:r>
      <w:proofErr w:type="gramStart"/>
      <w:r w:rsidRPr="001171F7">
        <w:rPr>
          <w:rFonts w:eastAsia="Times New Roman" w:cstheme="minorHAnsi"/>
          <w:lang w:val="en-GB"/>
        </w:rPr>
        <w:t>strategies</w:t>
      </w:r>
      <w:proofErr w:type="gramEnd"/>
      <w:r w:rsidRPr="001171F7">
        <w:rPr>
          <w:rFonts w:eastAsia="Times New Roman" w:cstheme="minorHAnsi"/>
          <w:lang w:val="en-GB"/>
        </w:rPr>
        <w:t xml:space="preserve"> and commercial information of a Party.</w:t>
      </w:r>
    </w:p>
    <w:p w14:paraId="3DF9ED36" w14:textId="77777777" w:rsidR="001D46A8" w:rsidRPr="001171F7" w:rsidRDefault="001D46A8" w:rsidP="001D46A8">
      <w:pPr>
        <w:suppressAutoHyphens/>
        <w:spacing w:after="0" w:line="260" w:lineRule="exact"/>
        <w:jc w:val="both"/>
        <w:rPr>
          <w:rFonts w:eastAsia="Times New Roman" w:cstheme="minorHAnsi"/>
          <w:lang w:val="en-GB"/>
        </w:rPr>
      </w:pPr>
    </w:p>
    <w:p w14:paraId="380E0344" w14:textId="77777777"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(b) “</w:t>
      </w:r>
      <w:r w:rsidRPr="001171F7">
        <w:rPr>
          <w:rFonts w:eastAsia="Times New Roman" w:cstheme="minorHAnsi"/>
          <w:b/>
        </w:rPr>
        <w:t>Disclosing Party</w:t>
      </w:r>
      <w:r w:rsidRPr="001171F7">
        <w:rPr>
          <w:rFonts w:eastAsia="Times New Roman" w:cstheme="minorHAnsi"/>
        </w:rPr>
        <w:t>” means the Party disclosing Confidential Information,</w:t>
      </w:r>
    </w:p>
    <w:p w14:paraId="0CA00898" w14:textId="77777777" w:rsidR="001D46A8" w:rsidRPr="001171F7" w:rsidRDefault="001D46A8" w:rsidP="001D46A8">
      <w:pPr>
        <w:suppressAutoHyphens/>
        <w:spacing w:after="0" w:line="260" w:lineRule="exact"/>
        <w:jc w:val="both"/>
        <w:rPr>
          <w:rFonts w:eastAsia="Times New Roman" w:cstheme="minorHAnsi"/>
        </w:rPr>
      </w:pPr>
    </w:p>
    <w:p w14:paraId="72766E3B" w14:textId="77777777"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 xml:space="preserve">(c) </w:t>
      </w:r>
      <w:r w:rsidRPr="001171F7">
        <w:rPr>
          <w:rFonts w:eastAsia="Times New Roman" w:cstheme="minorHAnsi"/>
          <w:b/>
        </w:rPr>
        <w:t>“TSO’s”</w:t>
      </w:r>
      <w:r w:rsidRPr="001171F7">
        <w:rPr>
          <w:rFonts w:eastAsia="Times New Roman" w:cstheme="minorHAnsi"/>
        </w:rPr>
        <w:t xml:space="preserve"> means the concerned TSO’s</w:t>
      </w:r>
      <w:r w:rsidRPr="001171F7">
        <w:rPr>
          <w:rFonts w:cstheme="minorHAnsi"/>
        </w:rPr>
        <w:t xml:space="preserve"> in the </w:t>
      </w:r>
      <w:r w:rsidRPr="001171F7">
        <w:rPr>
          <w:rFonts w:eastAsia="Times New Roman" w:cstheme="minorHAnsi"/>
        </w:rPr>
        <w:t xml:space="preserve">Incremental Capacity Process, namely </w:t>
      </w:r>
      <w:proofErr w:type="spellStart"/>
      <w:r w:rsidRPr="001171F7">
        <w:rPr>
          <w:rFonts w:eastAsia="Times New Roman" w:cstheme="minorHAnsi"/>
        </w:rPr>
        <w:t>Snam</w:t>
      </w:r>
      <w:proofErr w:type="spellEnd"/>
      <w:r w:rsidRPr="001171F7">
        <w:rPr>
          <w:rFonts w:eastAsia="Times New Roman" w:cstheme="minorHAnsi"/>
        </w:rPr>
        <w:t xml:space="preserve"> Rete Gas (SRG), Trans Adriatic Pipeline (TAP) and DESFA.</w:t>
      </w:r>
    </w:p>
    <w:p w14:paraId="446FC46B" w14:textId="77777777" w:rsidR="001D46A8" w:rsidRPr="001171F7" w:rsidRDefault="001D46A8" w:rsidP="001D46A8">
      <w:pPr>
        <w:suppressAutoHyphens/>
        <w:spacing w:after="0" w:line="260" w:lineRule="exact"/>
        <w:jc w:val="both"/>
        <w:rPr>
          <w:rFonts w:eastAsia="Times New Roman" w:cstheme="minorHAnsi"/>
        </w:rPr>
      </w:pPr>
    </w:p>
    <w:p w14:paraId="0ECF27CC" w14:textId="77777777" w:rsidR="001D46A8" w:rsidRPr="001171F7" w:rsidRDefault="001D46A8" w:rsidP="001D46A8">
      <w:pPr>
        <w:suppressAutoHyphens/>
        <w:spacing w:after="0" w:line="260" w:lineRule="exact"/>
        <w:jc w:val="both"/>
        <w:rPr>
          <w:rFonts w:eastAsia="Times New Roman" w:cstheme="minorHAnsi"/>
          <w:lang w:val="en-GB"/>
        </w:rPr>
      </w:pPr>
      <w:r w:rsidRPr="001171F7">
        <w:rPr>
          <w:rFonts w:eastAsia="Times New Roman" w:cstheme="minorHAnsi"/>
          <w:lang w:val="en-GB"/>
        </w:rPr>
        <w:t>(</w:t>
      </w:r>
      <w:r w:rsidR="009F3C03">
        <w:rPr>
          <w:rFonts w:eastAsia="Times New Roman" w:cstheme="minorHAnsi"/>
          <w:lang w:val="en-GB"/>
        </w:rPr>
        <w:t>d</w:t>
      </w:r>
      <w:r w:rsidRPr="001171F7">
        <w:rPr>
          <w:rFonts w:eastAsia="Times New Roman" w:cstheme="minorHAnsi"/>
          <w:lang w:val="en-GB"/>
        </w:rPr>
        <w:t>) “</w:t>
      </w:r>
      <w:r w:rsidRPr="001171F7">
        <w:rPr>
          <w:rFonts w:eastAsia="Times New Roman" w:cstheme="minorHAnsi"/>
          <w:b/>
          <w:lang w:val="en-GB"/>
        </w:rPr>
        <w:t>Recipient</w:t>
      </w:r>
      <w:r w:rsidRPr="001171F7">
        <w:rPr>
          <w:rFonts w:eastAsia="Times New Roman" w:cstheme="minorHAnsi"/>
          <w:lang w:val="en-GB"/>
        </w:rPr>
        <w:t>” means the Party receiving Confidential Information.</w:t>
      </w:r>
    </w:p>
    <w:p w14:paraId="3C36784E" w14:textId="77777777" w:rsidR="001D46A8" w:rsidRPr="001171F7" w:rsidRDefault="001D46A8" w:rsidP="001D46A8">
      <w:pPr>
        <w:suppressAutoHyphens/>
        <w:spacing w:after="0" w:line="260" w:lineRule="exact"/>
        <w:jc w:val="both"/>
        <w:rPr>
          <w:rFonts w:eastAsia="Times New Roman" w:cstheme="minorHAnsi"/>
          <w:lang w:val="en-GB"/>
        </w:rPr>
      </w:pPr>
    </w:p>
    <w:p w14:paraId="10B20ED9" w14:textId="77777777" w:rsidR="001D46A8" w:rsidRPr="001171F7" w:rsidRDefault="001D46A8" w:rsidP="001D46A8">
      <w:pPr>
        <w:suppressAutoHyphens/>
        <w:spacing w:after="0" w:line="260" w:lineRule="exact"/>
        <w:jc w:val="both"/>
        <w:rPr>
          <w:rFonts w:eastAsia="Times New Roman" w:cstheme="minorHAnsi"/>
          <w:lang w:val="en-GB"/>
        </w:rPr>
      </w:pPr>
    </w:p>
    <w:p w14:paraId="19F04B63" w14:textId="77777777" w:rsidR="001D46A8" w:rsidRPr="001171F7" w:rsidRDefault="001D46A8" w:rsidP="001D46A8">
      <w:pPr>
        <w:suppressAutoHyphens/>
        <w:spacing w:after="0" w:line="260" w:lineRule="exact"/>
        <w:jc w:val="both"/>
        <w:rPr>
          <w:rFonts w:eastAsia="Times New Roman" w:cstheme="minorHAnsi"/>
          <w:b/>
          <w:lang w:val="en-GB"/>
        </w:rPr>
      </w:pPr>
    </w:p>
    <w:p w14:paraId="3288E36A" w14:textId="77777777" w:rsidR="001D46A8" w:rsidRPr="001171F7" w:rsidRDefault="001D46A8" w:rsidP="001D46A8">
      <w:pPr>
        <w:suppressAutoHyphens/>
        <w:spacing w:after="0" w:line="260" w:lineRule="exact"/>
        <w:jc w:val="both"/>
        <w:rPr>
          <w:rFonts w:eastAsia="Times New Roman" w:cstheme="minorHAnsi"/>
          <w:b/>
          <w:lang w:val="en-GB"/>
        </w:rPr>
      </w:pPr>
      <w:r w:rsidRPr="001171F7">
        <w:rPr>
          <w:rFonts w:eastAsia="Times New Roman" w:cstheme="minorHAnsi"/>
          <w:b/>
          <w:lang w:val="en-GB"/>
        </w:rPr>
        <w:t>2. DISCLOSURE</w:t>
      </w:r>
    </w:p>
    <w:p w14:paraId="48893A2A" w14:textId="77777777" w:rsidR="001D46A8" w:rsidRPr="001171F7" w:rsidRDefault="001D46A8" w:rsidP="001D46A8">
      <w:pPr>
        <w:suppressAutoHyphens/>
        <w:spacing w:after="0" w:line="260" w:lineRule="exact"/>
        <w:jc w:val="both"/>
        <w:rPr>
          <w:rFonts w:eastAsia="Times New Roman" w:cstheme="minorHAnsi"/>
          <w:lang w:val="en-GB"/>
        </w:rPr>
      </w:pPr>
    </w:p>
    <w:p w14:paraId="5389433C" w14:textId="77777777"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lang w:val="en-GB"/>
        </w:rPr>
        <w:t xml:space="preserve">2.1. The </w:t>
      </w:r>
      <w:r w:rsidRPr="001171F7">
        <w:rPr>
          <w:rFonts w:eastAsia="Times New Roman" w:cstheme="minorHAnsi"/>
        </w:rPr>
        <w:t>Recipient undertakes to hold Disclosing Party’s Confidential Information in strict confidence and shall not at any time disclose or make available any such Confidential Information to any third party, except as specifically authorized in advance by Disclosing Party in writing.</w:t>
      </w:r>
    </w:p>
    <w:p w14:paraId="53E536CD" w14:textId="77777777" w:rsidR="001D46A8" w:rsidRPr="001171F7" w:rsidRDefault="001D46A8" w:rsidP="001D46A8">
      <w:pPr>
        <w:suppressAutoHyphens/>
        <w:spacing w:after="0" w:line="260" w:lineRule="exact"/>
        <w:jc w:val="both"/>
        <w:rPr>
          <w:rFonts w:eastAsia="Times New Roman" w:cstheme="minorHAnsi"/>
        </w:rPr>
      </w:pPr>
    </w:p>
    <w:p w14:paraId="1B7446CB" w14:textId="77777777"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 xml:space="preserve">2.2. The Recipient undertakes not to use any of Disclosing Party’s Confidential Information for any purpose other than the Incremental Capacity Process according to the </w:t>
      </w:r>
      <w:r w:rsidRPr="001171F7">
        <w:rPr>
          <w:rFonts w:cstheme="minorHAnsi"/>
        </w:rPr>
        <w:t xml:space="preserve">Project Proposal, the Joint </w:t>
      </w:r>
      <w:proofErr w:type="gramStart"/>
      <w:r w:rsidRPr="001171F7">
        <w:rPr>
          <w:rFonts w:cstheme="minorHAnsi"/>
        </w:rPr>
        <w:t>Notice</w:t>
      </w:r>
      <w:proofErr w:type="gramEnd"/>
      <w:r w:rsidRPr="001171F7">
        <w:rPr>
          <w:rFonts w:eastAsia="Times New Roman" w:cstheme="minorHAnsi"/>
        </w:rPr>
        <w:t xml:space="preserve"> and the Notice. Recipient agrees that this provision includes a prohibition against the direct or indirect use of any of Disclosing Party’s Confidential Information to develop, enhance or add features to any product, service, </w:t>
      </w:r>
      <w:proofErr w:type="gramStart"/>
      <w:r w:rsidRPr="001171F7">
        <w:rPr>
          <w:rFonts w:eastAsia="Times New Roman" w:cstheme="minorHAnsi"/>
        </w:rPr>
        <w:t>technology</w:t>
      </w:r>
      <w:proofErr w:type="gramEnd"/>
      <w:r w:rsidRPr="001171F7">
        <w:rPr>
          <w:rFonts w:eastAsia="Times New Roman" w:cstheme="minorHAnsi"/>
        </w:rPr>
        <w:t xml:space="preserve"> or software or use such to disclose to, advice, assist or consult with any gas supplier, gas shipper, gas network user or competitor of the Disclosing Party.</w:t>
      </w:r>
    </w:p>
    <w:p w14:paraId="56CC97EF" w14:textId="77777777" w:rsidR="001D46A8" w:rsidRPr="001171F7" w:rsidRDefault="001D46A8" w:rsidP="001D46A8">
      <w:pPr>
        <w:suppressAutoHyphens/>
        <w:spacing w:after="0" w:line="260" w:lineRule="exact"/>
        <w:jc w:val="both"/>
        <w:rPr>
          <w:rFonts w:eastAsia="Times New Roman" w:cstheme="minorHAnsi"/>
        </w:rPr>
      </w:pPr>
    </w:p>
    <w:p w14:paraId="01EDA2E4" w14:textId="77777777" w:rsidR="001D46A8" w:rsidRPr="001171F7" w:rsidRDefault="001D46A8" w:rsidP="001D46A8">
      <w:pPr>
        <w:suppressAutoHyphens/>
        <w:spacing w:after="0" w:line="260" w:lineRule="exact"/>
        <w:jc w:val="both"/>
        <w:rPr>
          <w:rFonts w:eastAsia="Times New Roman" w:cstheme="minorHAnsi"/>
          <w:lang w:val="en-GB"/>
        </w:rPr>
      </w:pPr>
      <w:r w:rsidRPr="001171F7">
        <w:rPr>
          <w:rFonts w:eastAsia="Times New Roman" w:cstheme="minorHAnsi"/>
        </w:rPr>
        <w:t xml:space="preserve">2.3. The Recipient undertakes to use all reasonable precautions to prevent the unauthorized disclosure or use of Disclosing Party’s Confidential Information and shall ensure proper and secure storage of all such Confidential Information and any copies thereof to at least the same standard as the Recipient keeps its own Confidential Information.  </w:t>
      </w:r>
    </w:p>
    <w:p w14:paraId="148EA9FF" w14:textId="77777777" w:rsidR="001D46A8" w:rsidRPr="001171F7" w:rsidRDefault="001D46A8" w:rsidP="001D46A8">
      <w:pPr>
        <w:suppressAutoHyphens/>
        <w:spacing w:after="0" w:line="260" w:lineRule="exact"/>
        <w:jc w:val="both"/>
        <w:rPr>
          <w:rFonts w:eastAsia="Times New Roman" w:cstheme="minorHAnsi"/>
        </w:rPr>
      </w:pPr>
    </w:p>
    <w:p w14:paraId="401C52B6" w14:textId="77777777"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2.4. The Recipient may disclose Disclosing Party’s Confidential Information:</w:t>
      </w:r>
    </w:p>
    <w:p w14:paraId="199DEE01" w14:textId="77777777" w:rsidR="001D46A8" w:rsidRPr="001171F7" w:rsidRDefault="001D46A8" w:rsidP="001D46A8">
      <w:pPr>
        <w:suppressAutoHyphens/>
        <w:spacing w:after="0" w:line="260" w:lineRule="exact"/>
        <w:jc w:val="both"/>
        <w:rPr>
          <w:rFonts w:eastAsia="Times New Roman" w:cstheme="minorHAnsi"/>
        </w:rPr>
      </w:pPr>
    </w:p>
    <w:p w14:paraId="5AC066B1" w14:textId="77777777"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(a) to the Recipient´s regulatory authority (</w:t>
      </w:r>
      <w:proofErr w:type="gramStart"/>
      <w:r w:rsidRPr="001171F7">
        <w:rPr>
          <w:rFonts w:eastAsia="Times New Roman" w:cstheme="minorHAnsi"/>
        </w:rPr>
        <w:t>i.e.</w:t>
      </w:r>
      <w:proofErr w:type="gramEnd"/>
      <w:r w:rsidRPr="001171F7">
        <w:rPr>
          <w:rFonts w:eastAsia="Times New Roman" w:cstheme="minorHAnsi"/>
        </w:rPr>
        <w:t xml:space="preserve"> </w:t>
      </w:r>
      <w:r w:rsidR="00BD331F" w:rsidRPr="001171F7">
        <w:rPr>
          <w:rFonts w:eastAsia="Times New Roman" w:cstheme="minorHAnsi"/>
        </w:rPr>
        <w:t>Hellenic Regulatory Authority for Energy</w:t>
      </w:r>
      <w:r w:rsidRPr="001171F7">
        <w:rPr>
          <w:rFonts w:eastAsia="Times New Roman" w:cstheme="minorHAnsi"/>
        </w:rPr>
        <w:t>) or the European Commission, in accordance with the provisions of the Recipient´s national legislation and the provisions of European Union law;</w:t>
      </w:r>
    </w:p>
    <w:p w14:paraId="22307556" w14:textId="77777777" w:rsidR="001D46A8" w:rsidRPr="001171F7" w:rsidRDefault="001D46A8" w:rsidP="001D46A8">
      <w:pPr>
        <w:suppressAutoHyphens/>
        <w:spacing w:after="0" w:line="260" w:lineRule="exact"/>
        <w:jc w:val="both"/>
        <w:rPr>
          <w:rFonts w:eastAsia="Times New Roman" w:cstheme="minorHAnsi"/>
        </w:rPr>
      </w:pPr>
    </w:p>
    <w:p w14:paraId="38122056" w14:textId="77777777" w:rsidR="001D46A8" w:rsidRPr="001171F7" w:rsidRDefault="001D46A8" w:rsidP="001D46A8">
      <w:pPr>
        <w:suppressAutoHyphens/>
        <w:spacing w:after="0" w:line="260" w:lineRule="exact"/>
        <w:jc w:val="both"/>
        <w:rPr>
          <w:rFonts w:eastAsia="Times New Roman" w:cstheme="minorHAnsi"/>
          <w:lang w:val="en-GB"/>
        </w:rPr>
      </w:pPr>
      <w:r w:rsidRPr="001171F7">
        <w:rPr>
          <w:rFonts w:eastAsia="Times New Roman" w:cstheme="minorHAnsi"/>
          <w:lang w:val="en-GB"/>
        </w:rPr>
        <w:lastRenderedPageBreak/>
        <w:t xml:space="preserve">(b) </w:t>
      </w:r>
      <w:r w:rsidRPr="001171F7">
        <w:rPr>
          <w:rFonts w:eastAsia="Times New Roman" w:cstheme="minorHAnsi"/>
        </w:rPr>
        <w:t xml:space="preserve">to the Recipient's auditors, professional advisers and financial institutions and any other person having a legal right or duty to have access to or knowledge of such Confidential Information in connection with the business of the </w:t>
      </w:r>
      <w:proofErr w:type="gramStart"/>
      <w:r w:rsidRPr="001171F7">
        <w:rPr>
          <w:rFonts w:eastAsia="Times New Roman" w:cstheme="minorHAnsi"/>
        </w:rPr>
        <w:t>Recipient;</w:t>
      </w:r>
      <w:proofErr w:type="gramEnd"/>
    </w:p>
    <w:p w14:paraId="2A6F50A5" w14:textId="77777777" w:rsidR="001D46A8" w:rsidRPr="001171F7" w:rsidRDefault="001D46A8" w:rsidP="001D46A8">
      <w:pPr>
        <w:suppressAutoHyphens/>
        <w:spacing w:after="0" w:line="260" w:lineRule="exact"/>
        <w:jc w:val="both"/>
        <w:rPr>
          <w:rFonts w:eastAsia="Times New Roman" w:cstheme="minorHAnsi"/>
        </w:rPr>
      </w:pPr>
    </w:p>
    <w:p w14:paraId="0B7595C6" w14:textId="77777777"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 xml:space="preserve">(c) to the Recipient’s directors and members of its corporate bodies and its employees and agents for the purposes of obtaining any relevant corporate authorization required under its governance rules in connection with the Incremental Capacity </w:t>
      </w:r>
      <w:proofErr w:type="gramStart"/>
      <w:r w:rsidRPr="001171F7">
        <w:rPr>
          <w:rFonts w:eastAsia="Times New Roman" w:cstheme="minorHAnsi"/>
        </w:rPr>
        <w:t>Process;</w:t>
      </w:r>
      <w:proofErr w:type="gramEnd"/>
    </w:p>
    <w:p w14:paraId="38FF7983" w14:textId="77777777"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ab/>
      </w:r>
    </w:p>
    <w:p w14:paraId="3BE5735A" w14:textId="77777777"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 xml:space="preserve">(d) if the Recipient is required to disclose by applicable law or order of a court of competent jurisdiction or other government body, department or </w:t>
      </w:r>
      <w:proofErr w:type="gramStart"/>
      <w:r w:rsidRPr="001171F7">
        <w:rPr>
          <w:rFonts w:eastAsia="Times New Roman" w:cstheme="minorHAnsi"/>
        </w:rPr>
        <w:t>agency;</w:t>
      </w:r>
      <w:proofErr w:type="gramEnd"/>
    </w:p>
    <w:p w14:paraId="6C871896" w14:textId="77777777" w:rsidR="001D46A8" w:rsidRPr="001171F7" w:rsidRDefault="001D46A8" w:rsidP="001D46A8">
      <w:pPr>
        <w:suppressAutoHyphens/>
        <w:spacing w:after="0" w:line="260" w:lineRule="exact"/>
        <w:jc w:val="both"/>
        <w:rPr>
          <w:rFonts w:eastAsia="Times New Roman" w:cstheme="minorHAnsi"/>
        </w:rPr>
      </w:pPr>
    </w:p>
    <w:p w14:paraId="15C72AFB" w14:textId="77777777"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(e) to the concerned TSO’s.</w:t>
      </w:r>
    </w:p>
    <w:p w14:paraId="14C895A9" w14:textId="77777777" w:rsidR="001D46A8" w:rsidRPr="001171F7" w:rsidRDefault="001D46A8" w:rsidP="001D46A8">
      <w:pPr>
        <w:suppressAutoHyphens/>
        <w:spacing w:after="0" w:line="260" w:lineRule="exact"/>
        <w:jc w:val="both"/>
        <w:rPr>
          <w:rFonts w:eastAsia="Times New Roman" w:cstheme="minorHAnsi"/>
        </w:rPr>
      </w:pPr>
    </w:p>
    <w:p w14:paraId="6E2229E4" w14:textId="77777777"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 xml:space="preserve">2.5. Regarding clause 2.4. (b) and (c) the Recipient may disclose Disclosing Party’s Confidential Information, only to the extent necessary to perform their respective duties and in such event shall inform each of said auditors, professional advisers, persons or bodies, directors, </w:t>
      </w:r>
      <w:proofErr w:type="gramStart"/>
      <w:r w:rsidRPr="001171F7">
        <w:rPr>
          <w:rFonts w:eastAsia="Times New Roman" w:cstheme="minorHAnsi"/>
        </w:rPr>
        <w:t>employees</w:t>
      </w:r>
      <w:proofErr w:type="gramEnd"/>
      <w:r w:rsidRPr="001171F7">
        <w:rPr>
          <w:rFonts w:eastAsia="Times New Roman" w:cstheme="minorHAnsi"/>
        </w:rPr>
        <w:t xml:space="preserve"> and agents of the confidential nature of the Confidential Information and the Recipient´s obligations in respect thereof. If the Recipient discloses information in accordance with clause 2.4. (b) and (c) above, it shall assume full responsibility for any breach by such auditors, professional advisors, persons or bodies, directors, </w:t>
      </w:r>
      <w:proofErr w:type="gramStart"/>
      <w:r w:rsidRPr="001171F7">
        <w:rPr>
          <w:rFonts w:eastAsia="Times New Roman" w:cstheme="minorHAnsi"/>
        </w:rPr>
        <w:t>employees</w:t>
      </w:r>
      <w:proofErr w:type="gramEnd"/>
      <w:r w:rsidRPr="001171F7">
        <w:rPr>
          <w:rFonts w:eastAsia="Times New Roman" w:cstheme="minorHAnsi"/>
        </w:rPr>
        <w:t xml:space="preserve"> and agents of the terms of this Agreement.</w:t>
      </w:r>
    </w:p>
    <w:p w14:paraId="2FAE0431" w14:textId="77777777" w:rsidR="001D46A8" w:rsidRPr="001171F7" w:rsidRDefault="001D46A8" w:rsidP="001D46A8">
      <w:pPr>
        <w:suppressAutoHyphens/>
        <w:spacing w:after="0" w:line="260" w:lineRule="exact"/>
        <w:jc w:val="both"/>
        <w:rPr>
          <w:rFonts w:eastAsia="Times New Roman" w:cstheme="minorHAnsi"/>
        </w:rPr>
      </w:pPr>
    </w:p>
    <w:p w14:paraId="41E3A916" w14:textId="77777777"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2.6. Regarding to the clause 2.4. (a) and (d) the Recipient shall if reasonably possible first inform the Disclosing Party in writing before any disclosure under such order or obligation is made if lawfully permitted to do so.</w:t>
      </w:r>
    </w:p>
    <w:p w14:paraId="55DA904D" w14:textId="77777777" w:rsidR="001D46A8" w:rsidRPr="001171F7" w:rsidRDefault="001D46A8" w:rsidP="001D46A8">
      <w:pPr>
        <w:suppressAutoHyphens/>
        <w:spacing w:after="0" w:line="260" w:lineRule="exact"/>
        <w:jc w:val="both"/>
        <w:rPr>
          <w:rFonts w:eastAsia="Times New Roman" w:cstheme="minorHAnsi"/>
        </w:rPr>
      </w:pPr>
    </w:p>
    <w:p w14:paraId="3CDEB59C" w14:textId="77777777" w:rsidR="001D46A8" w:rsidRPr="001171F7" w:rsidRDefault="001D46A8" w:rsidP="001D46A8">
      <w:pPr>
        <w:suppressAutoHyphens/>
        <w:spacing w:after="0" w:line="260" w:lineRule="exact"/>
        <w:jc w:val="both"/>
        <w:rPr>
          <w:rFonts w:eastAsia="Times New Roman" w:cstheme="minorHAnsi"/>
        </w:rPr>
      </w:pPr>
    </w:p>
    <w:p w14:paraId="46EA0121" w14:textId="77777777"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b/>
        </w:rPr>
        <w:t>3. EXCLUSIONS</w:t>
      </w:r>
    </w:p>
    <w:p w14:paraId="1A3A3891" w14:textId="77777777" w:rsidR="001D46A8" w:rsidRPr="001171F7" w:rsidRDefault="001D46A8" w:rsidP="001D46A8">
      <w:pPr>
        <w:suppressAutoHyphens/>
        <w:spacing w:after="0" w:line="260" w:lineRule="exact"/>
        <w:jc w:val="both"/>
        <w:rPr>
          <w:rFonts w:eastAsia="Times New Roman" w:cstheme="minorHAnsi"/>
        </w:rPr>
      </w:pPr>
    </w:p>
    <w:p w14:paraId="4698C387" w14:textId="77777777"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The obligations of confidentiality in Clause 2 above shall not apply to any information that:</w:t>
      </w:r>
    </w:p>
    <w:p w14:paraId="6D91FC5D" w14:textId="77777777" w:rsidR="001D46A8" w:rsidRPr="001171F7" w:rsidRDefault="001D46A8" w:rsidP="001D46A8">
      <w:pPr>
        <w:suppressAutoHyphens/>
        <w:spacing w:after="0" w:line="260" w:lineRule="exact"/>
        <w:jc w:val="both"/>
        <w:rPr>
          <w:rFonts w:eastAsia="Times New Roman" w:cstheme="minorHAnsi"/>
        </w:rPr>
      </w:pPr>
    </w:p>
    <w:p w14:paraId="148B7253" w14:textId="77777777"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 xml:space="preserve">(a) is at the date of its disclosure generally known or widely available to the public, or which subsequently becomes generally known or widely available to the public other than by an act or failure to act on the part of the Recipient or persons for whom the Recipient has assumed responsibility under this </w:t>
      </w:r>
      <w:proofErr w:type="gramStart"/>
      <w:r w:rsidRPr="001171F7">
        <w:rPr>
          <w:rFonts w:eastAsia="Times New Roman" w:cstheme="minorHAnsi"/>
        </w:rPr>
        <w:t>Agreement;</w:t>
      </w:r>
      <w:proofErr w:type="gramEnd"/>
    </w:p>
    <w:p w14:paraId="44AD9B6A" w14:textId="77777777" w:rsidR="001D46A8" w:rsidRPr="001171F7" w:rsidRDefault="001D46A8" w:rsidP="001D46A8">
      <w:pPr>
        <w:suppressAutoHyphens/>
        <w:spacing w:after="0" w:line="260" w:lineRule="exact"/>
        <w:jc w:val="both"/>
        <w:rPr>
          <w:rFonts w:eastAsia="Times New Roman" w:cstheme="minorHAnsi"/>
        </w:rPr>
      </w:pPr>
    </w:p>
    <w:p w14:paraId="5330135D" w14:textId="77777777"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 xml:space="preserve">(b) was known by the Recipient prior to receiving such information or materials from the Disclosing </w:t>
      </w:r>
      <w:proofErr w:type="gramStart"/>
      <w:r w:rsidRPr="001171F7">
        <w:rPr>
          <w:rFonts w:eastAsia="Times New Roman" w:cstheme="minorHAnsi"/>
        </w:rPr>
        <w:t>Party;</w:t>
      </w:r>
      <w:proofErr w:type="gramEnd"/>
      <w:r w:rsidRPr="001171F7">
        <w:rPr>
          <w:rFonts w:eastAsia="Times New Roman" w:cstheme="minorHAnsi"/>
        </w:rPr>
        <w:t xml:space="preserve"> </w:t>
      </w:r>
    </w:p>
    <w:p w14:paraId="7663B92A" w14:textId="77777777" w:rsidR="001D46A8" w:rsidRPr="001171F7" w:rsidRDefault="001D46A8" w:rsidP="001D46A8">
      <w:pPr>
        <w:suppressAutoHyphens/>
        <w:spacing w:after="0" w:line="260" w:lineRule="exact"/>
        <w:jc w:val="both"/>
        <w:rPr>
          <w:rFonts w:eastAsia="Times New Roman" w:cstheme="minorHAnsi"/>
        </w:rPr>
      </w:pPr>
    </w:p>
    <w:p w14:paraId="6AC36D0D" w14:textId="77777777"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 xml:space="preserve">(c) at any time after the Effective Date has been acquired by the Recipient from any third party who did not acquire such information directly or indirectly from the Disclosing Party or any of its </w:t>
      </w:r>
      <w:proofErr w:type="gramStart"/>
      <w:r w:rsidRPr="001171F7">
        <w:rPr>
          <w:rFonts w:eastAsia="Times New Roman" w:cstheme="minorHAnsi"/>
        </w:rPr>
        <w:t>employees;</w:t>
      </w:r>
      <w:proofErr w:type="gramEnd"/>
    </w:p>
    <w:p w14:paraId="663B8208" w14:textId="77777777" w:rsidR="001D46A8" w:rsidRPr="001171F7" w:rsidRDefault="001D46A8" w:rsidP="001D46A8">
      <w:pPr>
        <w:suppressAutoHyphens/>
        <w:spacing w:after="0" w:line="260" w:lineRule="exact"/>
        <w:jc w:val="both"/>
        <w:rPr>
          <w:rFonts w:eastAsia="Times New Roman" w:cstheme="minorHAnsi"/>
        </w:rPr>
      </w:pPr>
    </w:p>
    <w:p w14:paraId="13F865D8" w14:textId="77777777"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 xml:space="preserve">(d) was or is independently developed by the Recipient, its employees, agents, </w:t>
      </w:r>
      <w:proofErr w:type="gramStart"/>
      <w:r w:rsidRPr="001171F7">
        <w:rPr>
          <w:rFonts w:eastAsia="Times New Roman" w:cstheme="minorHAnsi"/>
        </w:rPr>
        <w:t>consultants</w:t>
      </w:r>
      <w:proofErr w:type="gramEnd"/>
      <w:r w:rsidRPr="001171F7">
        <w:rPr>
          <w:rFonts w:eastAsia="Times New Roman" w:cstheme="minorHAnsi"/>
        </w:rPr>
        <w:t xml:space="preserve"> or other representatives without the use of Confidential Information.</w:t>
      </w:r>
    </w:p>
    <w:p w14:paraId="3B67C964" w14:textId="77777777" w:rsidR="001D46A8" w:rsidRPr="001171F7" w:rsidRDefault="001D46A8" w:rsidP="001D46A8">
      <w:pPr>
        <w:suppressAutoHyphens/>
        <w:spacing w:after="0" w:line="260" w:lineRule="exact"/>
        <w:jc w:val="both"/>
        <w:rPr>
          <w:rFonts w:eastAsia="Times New Roman" w:cstheme="minorHAnsi"/>
        </w:rPr>
      </w:pPr>
    </w:p>
    <w:p w14:paraId="17A5C477" w14:textId="77777777"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ab/>
      </w:r>
    </w:p>
    <w:p w14:paraId="4D6ED97A" w14:textId="77777777" w:rsidR="001D46A8" w:rsidRPr="001171F7" w:rsidRDefault="001D46A8" w:rsidP="001D46A8">
      <w:pPr>
        <w:suppressAutoHyphens/>
        <w:spacing w:after="0" w:line="260" w:lineRule="exact"/>
        <w:jc w:val="both"/>
        <w:rPr>
          <w:rFonts w:eastAsia="Times New Roman" w:cstheme="minorHAnsi"/>
          <w:b/>
        </w:rPr>
      </w:pPr>
      <w:r w:rsidRPr="001171F7">
        <w:rPr>
          <w:rFonts w:eastAsia="Times New Roman" w:cstheme="minorHAnsi"/>
          <w:b/>
        </w:rPr>
        <w:t>4. OWNERSHIP OF CONFIDENTIAL INFORMATION</w:t>
      </w:r>
    </w:p>
    <w:p w14:paraId="309A0BC4" w14:textId="77777777" w:rsidR="001D46A8" w:rsidRPr="001171F7" w:rsidRDefault="001D46A8" w:rsidP="001D46A8">
      <w:pPr>
        <w:suppressAutoHyphens/>
        <w:spacing w:after="0" w:line="260" w:lineRule="exact"/>
        <w:jc w:val="both"/>
        <w:rPr>
          <w:rFonts w:eastAsia="Times New Roman" w:cstheme="minorHAnsi"/>
        </w:rPr>
      </w:pPr>
    </w:p>
    <w:p w14:paraId="20C22E01" w14:textId="77777777"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Nothing in this Agreement shall be construed to grant Recipient any rights, by license or otherwise, to any Confidential Information, except as strictly necessary to fulfil the Incremental Capacity Process.</w:t>
      </w:r>
    </w:p>
    <w:p w14:paraId="546BA0FF" w14:textId="77777777" w:rsidR="001D46A8" w:rsidRPr="001171F7" w:rsidRDefault="001D46A8" w:rsidP="001D46A8">
      <w:pPr>
        <w:suppressAutoHyphens/>
        <w:spacing w:after="0" w:line="260" w:lineRule="exact"/>
        <w:jc w:val="both"/>
        <w:rPr>
          <w:rFonts w:eastAsia="Times New Roman" w:cstheme="minorHAnsi"/>
        </w:rPr>
      </w:pPr>
    </w:p>
    <w:p w14:paraId="400C3F29" w14:textId="77777777" w:rsidR="001D46A8" w:rsidRPr="001171F7" w:rsidRDefault="001D46A8" w:rsidP="001D46A8">
      <w:pPr>
        <w:suppressAutoHyphens/>
        <w:spacing w:after="0" w:line="260" w:lineRule="exact"/>
        <w:jc w:val="both"/>
        <w:rPr>
          <w:rFonts w:eastAsia="Times New Roman" w:cstheme="minorHAnsi"/>
        </w:rPr>
      </w:pPr>
    </w:p>
    <w:p w14:paraId="30DFF0A5" w14:textId="77777777" w:rsidR="001D46A8" w:rsidRPr="001171F7" w:rsidRDefault="001D46A8" w:rsidP="001D46A8">
      <w:pPr>
        <w:suppressAutoHyphens/>
        <w:spacing w:after="0" w:line="260" w:lineRule="exact"/>
        <w:jc w:val="both"/>
        <w:rPr>
          <w:rFonts w:eastAsia="Times New Roman" w:cstheme="minorHAnsi"/>
          <w:b/>
        </w:rPr>
      </w:pPr>
      <w:r w:rsidRPr="001171F7">
        <w:rPr>
          <w:rFonts w:eastAsia="Times New Roman" w:cstheme="minorHAnsi"/>
          <w:b/>
        </w:rPr>
        <w:lastRenderedPageBreak/>
        <w:t xml:space="preserve">5. PERSONAL DATA </w:t>
      </w:r>
    </w:p>
    <w:p w14:paraId="1A1FC13C" w14:textId="77777777" w:rsidR="001D46A8" w:rsidRPr="001171F7" w:rsidRDefault="001D46A8" w:rsidP="001D46A8">
      <w:pPr>
        <w:suppressAutoHyphens/>
        <w:spacing w:after="0" w:line="260" w:lineRule="exact"/>
        <w:jc w:val="both"/>
        <w:rPr>
          <w:rFonts w:eastAsia="Times New Roman" w:cstheme="minorHAnsi"/>
        </w:rPr>
      </w:pPr>
    </w:p>
    <w:p w14:paraId="4F44E5B9" w14:textId="77777777" w:rsidR="001D46A8" w:rsidRPr="001171F7" w:rsidRDefault="001D46A8" w:rsidP="001D46A8">
      <w:pPr>
        <w:spacing w:after="0" w:line="240" w:lineRule="auto"/>
        <w:jc w:val="both"/>
        <w:rPr>
          <w:rFonts w:eastAsia="Times New Roman" w:cstheme="minorHAnsi"/>
        </w:rPr>
      </w:pPr>
      <w:r w:rsidRPr="001171F7">
        <w:rPr>
          <w:rFonts w:eastAsia="Times New Roman" w:cstheme="minorHAnsi"/>
        </w:rPr>
        <w:t xml:space="preserve">The Parties shall process personal data exchanged during the Incremental Capacity Process and under this Agreement during and for its performance (hereinafter referred to as "Personal Data") in accordance with the provisions of applicable legislation and today those of Regulation 2016/679/EU (hereinafter "General Regulation"). Personal data shall not be transmitted, </w:t>
      </w:r>
      <w:proofErr w:type="gramStart"/>
      <w:r w:rsidRPr="001171F7">
        <w:rPr>
          <w:rFonts w:eastAsia="Times New Roman" w:cstheme="minorHAnsi"/>
        </w:rPr>
        <w:t>disclosed</w:t>
      </w:r>
      <w:proofErr w:type="gramEnd"/>
      <w:r w:rsidRPr="001171F7">
        <w:rPr>
          <w:rFonts w:eastAsia="Times New Roman" w:cstheme="minorHAnsi"/>
        </w:rPr>
        <w:t xml:space="preserve"> or communicated to third parties, nor shall they be subject to any other processing for purposes other than the execution of the Agreement, except in cases of legal obligation or explicit consent of the data subject. The Company declares to have implemented relative data protection measures in compliance with the General Regulation. DESFA has implemented the data protection policy publicly available on DESFA’s corporate website</w:t>
      </w:r>
      <w:r w:rsidRPr="001171F7">
        <w:rPr>
          <w:rStyle w:val="FootnoteReference"/>
          <w:rFonts w:eastAsia="Times New Roman" w:cstheme="minorHAnsi"/>
        </w:rPr>
        <w:footnoteReference w:id="11"/>
      </w:r>
      <w:r w:rsidRPr="001171F7">
        <w:rPr>
          <w:rStyle w:val="Hyperlink"/>
          <w:rFonts w:cstheme="minorHAnsi"/>
        </w:rPr>
        <w:t>.</w:t>
      </w:r>
    </w:p>
    <w:p w14:paraId="212DDCA0" w14:textId="77777777" w:rsidR="001D46A8" w:rsidRPr="001171F7" w:rsidRDefault="001D46A8" w:rsidP="001D46A8">
      <w:pPr>
        <w:spacing w:after="0" w:line="240" w:lineRule="auto"/>
        <w:jc w:val="both"/>
        <w:rPr>
          <w:rFonts w:eastAsia="Times New Roman" w:cstheme="minorHAnsi"/>
        </w:rPr>
      </w:pPr>
    </w:p>
    <w:p w14:paraId="7775A79C" w14:textId="77777777" w:rsidR="001D46A8" w:rsidRPr="001171F7" w:rsidRDefault="001D46A8" w:rsidP="001D46A8">
      <w:pPr>
        <w:spacing w:after="0" w:line="240" w:lineRule="auto"/>
        <w:jc w:val="both"/>
        <w:rPr>
          <w:rFonts w:eastAsia="Times New Roman" w:cstheme="minorHAnsi"/>
        </w:rPr>
      </w:pPr>
    </w:p>
    <w:p w14:paraId="77AC026E" w14:textId="77777777" w:rsidR="001D46A8" w:rsidRPr="001171F7" w:rsidRDefault="001D46A8" w:rsidP="001D46A8">
      <w:pPr>
        <w:suppressAutoHyphens/>
        <w:spacing w:after="0" w:line="260" w:lineRule="exact"/>
        <w:jc w:val="both"/>
        <w:rPr>
          <w:rFonts w:eastAsia="Times New Roman" w:cstheme="minorHAnsi"/>
          <w:b/>
        </w:rPr>
      </w:pPr>
      <w:r w:rsidRPr="001171F7">
        <w:rPr>
          <w:rFonts w:eastAsia="Times New Roman" w:cstheme="minorHAnsi"/>
          <w:b/>
        </w:rPr>
        <w:t>6. TERM</w:t>
      </w:r>
    </w:p>
    <w:p w14:paraId="1CE6326B" w14:textId="77777777" w:rsidR="001D46A8" w:rsidRPr="001171F7" w:rsidRDefault="001D46A8" w:rsidP="001D46A8">
      <w:pPr>
        <w:suppressAutoHyphens/>
        <w:spacing w:after="0" w:line="260" w:lineRule="exact"/>
        <w:jc w:val="both"/>
        <w:rPr>
          <w:rFonts w:eastAsia="Times New Roman" w:cstheme="minorHAnsi"/>
        </w:rPr>
      </w:pPr>
    </w:p>
    <w:p w14:paraId="46290179" w14:textId="579EC2C3"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 xml:space="preserve">6.1. This Agreement shall come into force on the Effective Date and shall expire without notice </w:t>
      </w:r>
      <w:r w:rsidR="00CD4113">
        <w:rPr>
          <w:rFonts w:eastAsia="Times New Roman" w:cstheme="minorHAnsi"/>
        </w:rPr>
        <w:t>3 (</w:t>
      </w:r>
      <w:r w:rsidR="00CD4113" w:rsidRPr="001171F7">
        <w:rPr>
          <w:rFonts w:eastAsia="Times New Roman" w:cstheme="minorHAnsi"/>
        </w:rPr>
        <w:t>three</w:t>
      </w:r>
      <w:r w:rsidR="00CD4113">
        <w:rPr>
          <w:rFonts w:eastAsia="Times New Roman" w:cstheme="minorHAnsi"/>
        </w:rPr>
        <w:t>)</w:t>
      </w:r>
      <w:r w:rsidRPr="001171F7">
        <w:rPr>
          <w:rFonts w:eastAsia="Times New Roman" w:cstheme="minorHAnsi"/>
        </w:rPr>
        <w:t xml:space="preserve"> years after the Effective Date, unless mutually terminated earlier by the Parties. This agreement also applies to </w:t>
      </w:r>
      <w:proofErr w:type="gramStart"/>
      <w:r w:rsidRPr="001171F7">
        <w:rPr>
          <w:rFonts w:eastAsia="Times New Roman" w:cstheme="minorHAnsi"/>
        </w:rPr>
        <w:t>any and all</w:t>
      </w:r>
      <w:proofErr w:type="gramEnd"/>
      <w:r w:rsidRPr="001171F7">
        <w:rPr>
          <w:rFonts w:eastAsia="Times New Roman" w:cstheme="minorHAnsi"/>
        </w:rPr>
        <w:t xml:space="preserve"> successors of the Parties. </w:t>
      </w:r>
    </w:p>
    <w:p w14:paraId="2E2A4730" w14:textId="77777777" w:rsidR="001D46A8" w:rsidRPr="001171F7" w:rsidRDefault="001D46A8" w:rsidP="001D46A8">
      <w:pPr>
        <w:suppressAutoHyphens/>
        <w:spacing w:after="0" w:line="260" w:lineRule="exact"/>
        <w:jc w:val="both"/>
        <w:rPr>
          <w:rFonts w:eastAsia="Times New Roman" w:cstheme="minorHAnsi"/>
        </w:rPr>
      </w:pPr>
    </w:p>
    <w:p w14:paraId="26F9DA2D" w14:textId="00A28D5B"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 xml:space="preserve">6.2. The obligations set forth in this Agreement shall survive termination or expiry for </w:t>
      </w:r>
      <w:r w:rsidR="00CD4113">
        <w:rPr>
          <w:rFonts w:eastAsia="Times New Roman" w:cstheme="minorHAnsi"/>
        </w:rPr>
        <w:t>2 (two)</w:t>
      </w:r>
      <w:r w:rsidRPr="001171F7">
        <w:rPr>
          <w:rFonts w:eastAsia="Times New Roman" w:cstheme="minorHAnsi"/>
        </w:rPr>
        <w:t xml:space="preserve"> years.</w:t>
      </w:r>
    </w:p>
    <w:p w14:paraId="5A33ACBD" w14:textId="77777777" w:rsidR="001D46A8" w:rsidRPr="001171F7" w:rsidRDefault="001D46A8" w:rsidP="001D46A8">
      <w:pPr>
        <w:suppressAutoHyphens/>
        <w:spacing w:after="0" w:line="260" w:lineRule="exact"/>
        <w:jc w:val="both"/>
        <w:rPr>
          <w:rFonts w:eastAsia="Times New Roman" w:cstheme="minorHAnsi"/>
        </w:rPr>
      </w:pPr>
    </w:p>
    <w:p w14:paraId="0B76B7F0" w14:textId="77777777" w:rsidR="001D46A8" w:rsidRPr="001171F7" w:rsidRDefault="001D46A8" w:rsidP="001D46A8">
      <w:pPr>
        <w:suppressAutoHyphens/>
        <w:spacing w:after="0" w:line="260" w:lineRule="exact"/>
        <w:jc w:val="both"/>
        <w:rPr>
          <w:rFonts w:eastAsia="Times New Roman" w:cstheme="minorHAnsi"/>
        </w:rPr>
      </w:pPr>
    </w:p>
    <w:p w14:paraId="647B2D87" w14:textId="77777777" w:rsidR="001D46A8" w:rsidRPr="001171F7" w:rsidRDefault="001D46A8" w:rsidP="001D46A8">
      <w:pPr>
        <w:suppressAutoHyphens/>
        <w:spacing w:after="0" w:line="260" w:lineRule="exact"/>
        <w:jc w:val="both"/>
        <w:rPr>
          <w:rFonts w:eastAsia="Times New Roman" w:cstheme="minorHAnsi"/>
          <w:b/>
        </w:rPr>
      </w:pPr>
      <w:r w:rsidRPr="001171F7">
        <w:rPr>
          <w:rFonts w:eastAsia="Times New Roman" w:cstheme="minorHAnsi"/>
          <w:b/>
        </w:rPr>
        <w:t>7. GOVERNING LAW AND JURISDICTION</w:t>
      </w:r>
    </w:p>
    <w:p w14:paraId="648E8ED9" w14:textId="77777777" w:rsidR="001D46A8" w:rsidRPr="001171F7" w:rsidRDefault="001D46A8" w:rsidP="001D46A8">
      <w:pPr>
        <w:suppressAutoHyphens/>
        <w:spacing w:after="0" w:line="260" w:lineRule="exact"/>
        <w:jc w:val="both"/>
        <w:rPr>
          <w:rFonts w:eastAsia="Times New Roman" w:cstheme="minorHAnsi"/>
        </w:rPr>
      </w:pPr>
    </w:p>
    <w:p w14:paraId="4C0B0FDF" w14:textId="77777777"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This Agreement shall be governed by and construed exclusively in accordance with the Laws of the Hellenic Republic. Any disputes arising out of or in connection with this Agreement (including its interpretation) shall be referred to the courts of Athens.</w:t>
      </w:r>
    </w:p>
    <w:p w14:paraId="5F6CAD36" w14:textId="77777777" w:rsidR="001D46A8" w:rsidRPr="001171F7" w:rsidRDefault="001D46A8" w:rsidP="001D46A8">
      <w:pPr>
        <w:suppressAutoHyphens/>
        <w:spacing w:after="0" w:line="260" w:lineRule="exact"/>
        <w:jc w:val="both"/>
        <w:rPr>
          <w:rFonts w:eastAsia="Times New Roman" w:cstheme="minorHAnsi"/>
        </w:rPr>
      </w:pPr>
    </w:p>
    <w:p w14:paraId="673DCA3B" w14:textId="77777777" w:rsidR="001D46A8" w:rsidRPr="001171F7" w:rsidRDefault="001D46A8" w:rsidP="001D46A8">
      <w:pPr>
        <w:suppressAutoHyphens/>
        <w:spacing w:after="0" w:line="260" w:lineRule="exact"/>
        <w:jc w:val="both"/>
        <w:rPr>
          <w:rFonts w:eastAsia="Times New Roman" w:cstheme="minorHAnsi"/>
        </w:rPr>
      </w:pPr>
    </w:p>
    <w:p w14:paraId="48841C90" w14:textId="77777777" w:rsidR="001D46A8" w:rsidRPr="001171F7" w:rsidRDefault="001D46A8" w:rsidP="001D46A8">
      <w:pPr>
        <w:suppressAutoHyphens/>
        <w:spacing w:after="0" w:line="260" w:lineRule="exact"/>
        <w:jc w:val="both"/>
        <w:rPr>
          <w:rFonts w:eastAsia="Times New Roman" w:cstheme="minorHAnsi"/>
          <w:b/>
        </w:rPr>
      </w:pPr>
      <w:r w:rsidRPr="001171F7">
        <w:rPr>
          <w:rFonts w:eastAsia="Times New Roman" w:cstheme="minorHAnsi"/>
          <w:b/>
        </w:rPr>
        <w:t>8. LIABILITY</w:t>
      </w:r>
    </w:p>
    <w:p w14:paraId="0F48A612" w14:textId="77777777"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 xml:space="preserve">8.1. Neither Party shall be liable to the other Party by way of indemnity </w:t>
      </w:r>
      <w:proofErr w:type="gramStart"/>
      <w:r w:rsidRPr="001171F7">
        <w:rPr>
          <w:rFonts w:eastAsia="Times New Roman" w:cstheme="minorHAnsi"/>
        </w:rPr>
        <w:t>as a result of</w:t>
      </w:r>
      <w:proofErr w:type="gramEnd"/>
      <w:r w:rsidRPr="001171F7">
        <w:rPr>
          <w:rFonts w:eastAsia="Times New Roman" w:cstheme="minorHAnsi"/>
        </w:rPr>
        <w:t xml:space="preserve"> breach of contract for any loss, damage or costs resulting from or arising out of or in connection with this Agreement, except where such loss, damage or costs arises out of or results from the willful misconduct or gross negligence of this Agreement by such Party.</w:t>
      </w:r>
    </w:p>
    <w:p w14:paraId="7117A746" w14:textId="77777777" w:rsidR="001D46A8" w:rsidRPr="001171F7" w:rsidRDefault="001D46A8" w:rsidP="001D46A8">
      <w:pPr>
        <w:suppressAutoHyphens/>
        <w:spacing w:after="0" w:line="260" w:lineRule="exact"/>
        <w:jc w:val="both"/>
        <w:rPr>
          <w:rFonts w:eastAsia="Times New Roman" w:cstheme="minorHAnsi"/>
        </w:rPr>
      </w:pPr>
    </w:p>
    <w:p w14:paraId="3379251D" w14:textId="77777777"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 xml:space="preserve">8.2. In no event shall either Party by way of indemnity </w:t>
      </w:r>
      <w:proofErr w:type="gramStart"/>
      <w:r w:rsidRPr="001171F7">
        <w:rPr>
          <w:rFonts w:eastAsia="Times New Roman" w:cstheme="minorHAnsi"/>
        </w:rPr>
        <w:t>as a result of</w:t>
      </w:r>
      <w:proofErr w:type="gramEnd"/>
      <w:r w:rsidRPr="001171F7">
        <w:rPr>
          <w:rFonts w:eastAsia="Times New Roman" w:cstheme="minorHAnsi"/>
        </w:rPr>
        <w:t xml:space="preserve"> breach of contract be liable to the other Party for any indirect or consequential losses, loss of contract, loss of profit, loss of opportunity, or loss of goodwill arising out of or in connection with this Agreement and each Party hereby releases the other Party from any liability for loss or damage as above.</w:t>
      </w:r>
    </w:p>
    <w:p w14:paraId="4991869A" w14:textId="77777777" w:rsidR="001D46A8" w:rsidRPr="001171F7" w:rsidRDefault="001D46A8" w:rsidP="001D46A8">
      <w:pPr>
        <w:suppressAutoHyphens/>
        <w:spacing w:after="0" w:line="260" w:lineRule="exact"/>
        <w:jc w:val="both"/>
        <w:rPr>
          <w:rFonts w:eastAsia="Times New Roman" w:cstheme="minorHAnsi"/>
          <w:b/>
        </w:rPr>
      </w:pPr>
    </w:p>
    <w:p w14:paraId="6EE59D35" w14:textId="77777777" w:rsidR="001D46A8" w:rsidRPr="001171F7" w:rsidRDefault="001D46A8" w:rsidP="001D46A8">
      <w:pPr>
        <w:suppressAutoHyphens/>
        <w:spacing w:after="0" w:line="260" w:lineRule="exact"/>
        <w:jc w:val="both"/>
        <w:rPr>
          <w:rFonts w:eastAsia="Times New Roman" w:cstheme="minorHAnsi"/>
          <w:b/>
        </w:rPr>
      </w:pPr>
      <w:r w:rsidRPr="001171F7">
        <w:rPr>
          <w:rFonts w:eastAsia="Times New Roman" w:cstheme="minorHAnsi"/>
          <w:b/>
        </w:rPr>
        <w:t>9. MISCELLANEOUS</w:t>
      </w:r>
    </w:p>
    <w:p w14:paraId="79CCDD3B" w14:textId="77777777" w:rsidR="001D46A8" w:rsidRPr="001171F7" w:rsidRDefault="001D46A8" w:rsidP="001D46A8">
      <w:pPr>
        <w:suppressAutoHyphens/>
        <w:spacing w:after="0" w:line="260" w:lineRule="exact"/>
        <w:jc w:val="both"/>
        <w:rPr>
          <w:rFonts w:eastAsia="Times New Roman" w:cstheme="minorHAnsi"/>
        </w:rPr>
      </w:pPr>
    </w:p>
    <w:p w14:paraId="43501EB0" w14:textId="77777777"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9.1. If any clause contained in this Agreement is, for any reason, held to be invalid or unenforceable, in any respect, such unenforceability will not affect the validity of the remaining Agreement.</w:t>
      </w:r>
    </w:p>
    <w:p w14:paraId="73B62252" w14:textId="77777777" w:rsidR="001D46A8" w:rsidRPr="001171F7" w:rsidRDefault="001D46A8" w:rsidP="001D46A8">
      <w:pPr>
        <w:suppressAutoHyphens/>
        <w:spacing w:after="0" w:line="260" w:lineRule="exact"/>
        <w:jc w:val="both"/>
        <w:rPr>
          <w:rFonts w:eastAsia="Times New Roman" w:cstheme="minorHAnsi"/>
        </w:rPr>
      </w:pPr>
    </w:p>
    <w:p w14:paraId="2D4FA292" w14:textId="77777777"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9.2. Any modifications to this Agreement are only valid if in writing and duly signed by both Parties.</w:t>
      </w:r>
    </w:p>
    <w:p w14:paraId="631C7B67" w14:textId="77777777" w:rsidR="001D46A8" w:rsidRPr="001171F7" w:rsidRDefault="001D46A8" w:rsidP="001D46A8">
      <w:pPr>
        <w:suppressAutoHyphens/>
        <w:spacing w:after="0" w:line="260" w:lineRule="exact"/>
        <w:jc w:val="both"/>
        <w:rPr>
          <w:rFonts w:eastAsia="Times New Roman" w:cstheme="minorHAnsi"/>
        </w:rPr>
      </w:pPr>
    </w:p>
    <w:p w14:paraId="56B6F961" w14:textId="77777777"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lastRenderedPageBreak/>
        <w:t>9.3. Any notice or other communication to be given under or in connection with this Agreement shall be in the Greek or the English language in writing and executed by or on behalf of the Party giving it and marked for the attention of the other Party. A notice may be delivered personally, by registered mail or courier to the address provided hereof:</w:t>
      </w:r>
    </w:p>
    <w:p w14:paraId="4489EBB5" w14:textId="77777777" w:rsidR="001D46A8" w:rsidRPr="001171F7" w:rsidRDefault="001D46A8" w:rsidP="001D46A8">
      <w:pPr>
        <w:suppressAutoHyphens/>
        <w:spacing w:after="0" w:line="260" w:lineRule="exact"/>
        <w:rPr>
          <w:rFonts w:eastAsia="Times New Roman" w:cstheme="minorHAnsi"/>
        </w:rPr>
      </w:pPr>
    </w:p>
    <w:p w14:paraId="7A24670D" w14:textId="77777777" w:rsidR="001D46A8" w:rsidRPr="001171F7" w:rsidRDefault="001D46A8" w:rsidP="001D46A8">
      <w:pPr>
        <w:suppressAutoHyphens/>
        <w:spacing w:after="0" w:line="260" w:lineRule="exact"/>
        <w:rPr>
          <w:rFonts w:eastAsia="Times New Roman" w:cstheme="minorHAnsi"/>
        </w:rPr>
      </w:pPr>
      <w:r w:rsidRPr="001171F7">
        <w:rPr>
          <w:rFonts w:eastAsia="Times New Roman" w:cstheme="minorHAnsi"/>
        </w:rPr>
        <w:t>Name:</w:t>
      </w:r>
      <w:r w:rsidRPr="001171F7">
        <w:rPr>
          <w:rFonts w:eastAsia="Times New Roman" w:cstheme="minorHAnsi"/>
        </w:rPr>
        <w:tab/>
      </w:r>
      <w:r w:rsidRPr="001171F7">
        <w:rPr>
          <w:rFonts w:eastAsia="Times New Roman" w:cstheme="minorHAnsi"/>
        </w:rPr>
        <w:tab/>
      </w:r>
      <w:r w:rsidRPr="001171F7">
        <w:rPr>
          <w:rFonts w:eastAsia="Times New Roman" w:cstheme="minorHAnsi"/>
        </w:rPr>
        <w:tab/>
        <w:t>Hellenic Gas Transmission System Operator S.A.</w:t>
      </w:r>
    </w:p>
    <w:p w14:paraId="619257EE" w14:textId="77777777" w:rsidR="001D46A8" w:rsidRPr="001171F7" w:rsidRDefault="001D46A8" w:rsidP="001D46A8">
      <w:pPr>
        <w:suppressAutoHyphens/>
        <w:spacing w:after="0" w:line="260" w:lineRule="exact"/>
        <w:rPr>
          <w:rFonts w:eastAsia="Times New Roman" w:cstheme="minorHAnsi"/>
        </w:rPr>
      </w:pPr>
      <w:r w:rsidRPr="001171F7">
        <w:rPr>
          <w:rFonts w:eastAsia="Times New Roman" w:cstheme="minorHAnsi"/>
        </w:rPr>
        <w:t>Address:</w:t>
      </w:r>
      <w:r w:rsidRPr="001171F7">
        <w:rPr>
          <w:rFonts w:eastAsia="Times New Roman" w:cstheme="minorHAnsi"/>
        </w:rPr>
        <w:tab/>
      </w:r>
      <w:r w:rsidRPr="001171F7">
        <w:rPr>
          <w:rFonts w:eastAsia="Times New Roman" w:cstheme="minorHAnsi"/>
        </w:rPr>
        <w:tab/>
      </w:r>
      <w:proofErr w:type="spellStart"/>
      <w:r w:rsidRPr="001171F7">
        <w:rPr>
          <w:rFonts w:eastAsia="Times New Roman" w:cstheme="minorHAnsi"/>
        </w:rPr>
        <w:t>Messogion</w:t>
      </w:r>
      <w:proofErr w:type="spellEnd"/>
      <w:r w:rsidRPr="001171F7">
        <w:rPr>
          <w:rFonts w:eastAsia="Times New Roman" w:cstheme="minorHAnsi"/>
        </w:rPr>
        <w:t xml:space="preserve"> 357-359</w:t>
      </w:r>
    </w:p>
    <w:p w14:paraId="46442931" w14:textId="77777777" w:rsidR="001D46A8" w:rsidRPr="001171F7" w:rsidRDefault="001D46A8" w:rsidP="001D46A8">
      <w:pPr>
        <w:suppressAutoHyphens/>
        <w:spacing w:after="0" w:line="260" w:lineRule="exact"/>
        <w:rPr>
          <w:rFonts w:eastAsia="Times New Roman" w:cstheme="minorHAnsi"/>
        </w:rPr>
      </w:pPr>
      <w:r w:rsidRPr="001171F7">
        <w:rPr>
          <w:rFonts w:eastAsia="Times New Roman" w:cstheme="minorHAnsi"/>
        </w:rPr>
        <w:t xml:space="preserve">For the attention of: </w:t>
      </w:r>
      <w:r w:rsidRPr="001171F7">
        <w:rPr>
          <w:rFonts w:eastAsia="Times New Roman" w:cstheme="minorHAnsi"/>
        </w:rPr>
        <w:tab/>
      </w:r>
      <w:r w:rsidR="003E5BF7">
        <w:rPr>
          <w:rFonts w:eastAsia="Times New Roman" w:cstheme="minorHAnsi"/>
        </w:rPr>
        <w:t>Commercial Services Division</w:t>
      </w:r>
      <w:r w:rsidRPr="001171F7">
        <w:rPr>
          <w:rFonts w:eastAsia="Times New Roman" w:cstheme="minorHAnsi"/>
        </w:rPr>
        <w:t xml:space="preserve"> </w:t>
      </w:r>
    </w:p>
    <w:p w14:paraId="3FED0D93" w14:textId="77777777" w:rsidR="001D46A8" w:rsidRPr="001171F7" w:rsidRDefault="001D46A8" w:rsidP="001D46A8">
      <w:pPr>
        <w:suppressAutoHyphens/>
        <w:spacing w:after="0" w:line="260" w:lineRule="exact"/>
        <w:rPr>
          <w:rFonts w:eastAsia="Times New Roman" w:cstheme="minorHAnsi"/>
        </w:rPr>
      </w:pPr>
      <w:r w:rsidRPr="001171F7">
        <w:rPr>
          <w:rFonts w:eastAsia="Times New Roman" w:cstheme="minorHAnsi"/>
        </w:rPr>
        <w:tab/>
      </w:r>
    </w:p>
    <w:p w14:paraId="09C65ADF" w14:textId="77777777" w:rsidR="001D46A8" w:rsidRPr="001171F7" w:rsidRDefault="001D46A8" w:rsidP="001D46A8">
      <w:pPr>
        <w:suppressAutoHyphens/>
        <w:spacing w:after="0" w:line="260" w:lineRule="exact"/>
        <w:rPr>
          <w:rFonts w:eastAsia="Times New Roman" w:cstheme="minorHAnsi"/>
        </w:rPr>
      </w:pPr>
    </w:p>
    <w:p w14:paraId="1998E445" w14:textId="77777777" w:rsidR="001D46A8" w:rsidRPr="001171F7" w:rsidRDefault="001D46A8" w:rsidP="001D46A8">
      <w:pPr>
        <w:suppressAutoHyphens/>
        <w:spacing w:after="0" w:line="260" w:lineRule="exact"/>
        <w:rPr>
          <w:rFonts w:eastAsia="Times New Roman" w:cstheme="minorHAnsi"/>
        </w:rPr>
      </w:pPr>
      <w:r w:rsidRPr="001171F7">
        <w:rPr>
          <w:rFonts w:eastAsia="Times New Roman" w:cstheme="minorHAnsi"/>
        </w:rPr>
        <w:t>Name:</w:t>
      </w:r>
      <w:r w:rsidRPr="001171F7">
        <w:rPr>
          <w:rFonts w:eastAsia="Times New Roman" w:cstheme="minorHAnsi"/>
        </w:rPr>
        <w:tab/>
      </w:r>
      <w:r w:rsidRPr="001171F7">
        <w:rPr>
          <w:rFonts w:eastAsia="Times New Roman" w:cstheme="minorHAnsi"/>
        </w:rPr>
        <w:tab/>
      </w:r>
      <w:r w:rsidRPr="001171F7">
        <w:rPr>
          <w:rFonts w:eastAsia="Times New Roman" w:cstheme="minorHAnsi"/>
        </w:rPr>
        <w:tab/>
      </w:r>
      <w:r w:rsidRPr="001171F7">
        <w:rPr>
          <w:rFonts w:eastAsia="Times New Roman" w:cstheme="minorHAnsi"/>
          <w:i/>
        </w:rPr>
        <w:t>[Participant]</w:t>
      </w:r>
    </w:p>
    <w:p w14:paraId="1979FAF1" w14:textId="77777777" w:rsidR="001D46A8" w:rsidRPr="001171F7" w:rsidRDefault="001D46A8" w:rsidP="001D46A8">
      <w:pPr>
        <w:suppressAutoHyphens/>
        <w:spacing w:after="0" w:line="260" w:lineRule="exact"/>
        <w:rPr>
          <w:rFonts w:eastAsia="Times New Roman" w:cstheme="minorHAnsi"/>
        </w:rPr>
      </w:pPr>
      <w:r w:rsidRPr="001171F7">
        <w:rPr>
          <w:rFonts w:eastAsia="Times New Roman" w:cstheme="minorHAnsi"/>
        </w:rPr>
        <w:t>Address:</w:t>
      </w:r>
      <w:r w:rsidRPr="001171F7">
        <w:rPr>
          <w:rFonts w:eastAsia="Times New Roman" w:cstheme="minorHAnsi"/>
        </w:rPr>
        <w:tab/>
      </w:r>
      <w:r w:rsidRPr="001171F7">
        <w:rPr>
          <w:rFonts w:eastAsia="Times New Roman" w:cstheme="minorHAnsi"/>
        </w:rPr>
        <w:tab/>
      </w:r>
    </w:p>
    <w:p w14:paraId="779CBB26" w14:textId="77777777" w:rsidR="001D46A8" w:rsidRPr="001171F7" w:rsidRDefault="001D46A8" w:rsidP="001D46A8">
      <w:pPr>
        <w:suppressAutoHyphens/>
        <w:spacing w:after="0" w:line="260" w:lineRule="exact"/>
        <w:rPr>
          <w:rFonts w:eastAsia="Times New Roman" w:cstheme="minorHAnsi"/>
        </w:rPr>
      </w:pPr>
      <w:r w:rsidRPr="001171F7">
        <w:rPr>
          <w:rFonts w:eastAsia="Times New Roman" w:cstheme="minorHAnsi"/>
        </w:rPr>
        <w:t xml:space="preserve">For the attention of: </w:t>
      </w:r>
      <w:r w:rsidRPr="001171F7">
        <w:rPr>
          <w:rFonts w:eastAsia="Times New Roman" w:cstheme="minorHAnsi"/>
        </w:rPr>
        <w:tab/>
        <w:t xml:space="preserve"> </w:t>
      </w:r>
    </w:p>
    <w:p w14:paraId="52C4AB92" w14:textId="77777777" w:rsidR="001D46A8" w:rsidRPr="001171F7" w:rsidRDefault="001D46A8" w:rsidP="001D46A8">
      <w:pPr>
        <w:suppressAutoHyphens/>
        <w:spacing w:after="0" w:line="260" w:lineRule="exact"/>
        <w:rPr>
          <w:rFonts w:eastAsia="Times New Roman" w:cstheme="minorHAnsi"/>
        </w:rPr>
      </w:pPr>
      <w:r w:rsidRPr="001171F7">
        <w:rPr>
          <w:rFonts w:eastAsia="Times New Roman" w:cstheme="minorHAnsi"/>
        </w:rPr>
        <w:t xml:space="preserve">with a copy to:        </w:t>
      </w:r>
      <w:r w:rsidRPr="001171F7">
        <w:rPr>
          <w:rFonts w:eastAsia="Times New Roman" w:cstheme="minorHAnsi"/>
        </w:rPr>
        <w:tab/>
      </w:r>
    </w:p>
    <w:p w14:paraId="5DF6E929" w14:textId="77777777" w:rsidR="001D46A8" w:rsidRPr="001171F7" w:rsidRDefault="001D46A8" w:rsidP="001D46A8">
      <w:pPr>
        <w:suppressAutoHyphens/>
        <w:spacing w:after="0" w:line="260" w:lineRule="exact"/>
        <w:rPr>
          <w:rFonts w:eastAsia="Times New Roman" w:cstheme="minorHAnsi"/>
        </w:rPr>
      </w:pPr>
      <w:r w:rsidRPr="001171F7">
        <w:rPr>
          <w:rFonts w:eastAsia="Times New Roman" w:cstheme="minorHAnsi"/>
        </w:rPr>
        <w:tab/>
      </w:r>
    </w:p>
    <w:p w14:paraId="645BC407" w14:textId="77159FB7" w:rsidR="001D46A8" w:rsidRPr="001171F7" w:rsidRDefault="001D46A8" w:rsidP="001D46A8">
      <w:pPr>
        <w:suppressAutoHyphens/>
        <w:spacing w:after="0" w:line="260" w:lineRule="exact"/>
        <w:jc w:val="both"/>
        <w:rPr>
          <w:rFonts w:eastAsia="Times New Roman" w:cstheme="minorHAnsi"/>
        </w:rPr>
      </w:pPr>
      <w:r w:rsidRPr="001171F7">
        <w:rPr>
          <w:rFonts w:eastAsia="Times New Roman" w:cstheme="minorHAnsi"/>
        </w:rPr>
        <w:t xml:space="preserve">9.4. This Agreement has been entered into in </w:t>
      </w:r>
      <w:r w:rsidR="001E528B">
        <w:rPr>
          <w:rFonts w:eastAsia="Times New Roman" w:cstheme="minorHAnsi"/>
        </w:rPr>
        <w:t>2 (</w:t>
      </w:r>
      <w:r w:rsidRPr="001171F7">
        <w:rPr>
          <w:rFonts w:eastAsia="Times New Roman" w:cstheme="minorHAnsi"/>
        </w:rPr>
        <w:t xml:space="preserve">) counterparts each an original and of equal value upon the date stated at the beginning of this Agreement. </w:t>
      </w:r>
    </w:p>
    <w:p w14:paraId="2F7C1D3B" w14:textId="77777777" w:rsidR="001D46A8" w:rsidRPr="001171F7" w:rsidRDefault="001D46A8" w:rsidP="001D46A8">
      <w:pPr>
        <w:suppressAutoHyphens/>
        <w:spacing w:after="0" w:line="260" w:lineRule="exact"/>
        <w:rPr>
          <w:rFonts w:eastAsia="Times New Roman" w:cstheme="minorHAnsi"/>
        </w:rPr>
      </w:pPr>
    </w:p>
    <w:p w14:paraId="477A2E5C" w14:textId="77777777" w:rsidR="001D46A8" w:rsidRPr="001171F7" w:rsidRDefault="001D46A8" w:rsidP="001D46A8">
      <w:pPr>
        <w:tabs>
          <w:tab w:val="left" w:pos="2520"/>
        </w:tabs>
        <w:suppressAutoHyphens/>
        <w:spacing w:after="0" w:line="260" w:lineRule="exact"/>
        <w:rPr>
          <w:rFonts w:eastAsia="Times New Roman" w:cstheme="minorHAnsi"/>
        </w:rPr>
      </w:pPr>
    </w:p>
    <w:p w14:paraId="355155AA" w14:textId="77777777" w:rsidR="001D46A8" w:rsidRPr="001171F7" w:rsidRDefault="001D46A8" w:rsidP="001D46A8">
      <w:pPr>
        <w:tabs>
          <w:tab w:val="left" w:pos="2520"/>
        </w:tabs>
        <w:suppressAutoHyphens/>
        <w:spacing w:after="0" w:line="260" w:lineRule="exact"/>
        <w:rPr>
          <w:rFonts w:eastAsia="Times New Roman" w:cstheme="minorHAnsi"/>
        </w:rPr>
      </w:pPr>
      <w:r w:rsidRPr="001171F7">
        <w:rPr>
          <w:rFonts w:eastAsia="Times New Roman" w:cstheme="minorHAnsi"/>
        </w:rPr>
        <w:t>Signed for and on behalf of</w:t>
      </w:r>
    </w:p>
    <w:p w14:paraId="0C503739" w14:textId="77777777" w:rsidR="00C82310" w:rsidRPr="00C82310" w:rsidRDefault="00C82310" w:rsidP="001D46A8">
      <w:pPr>
        <w:tabs>
          <w:tab w:val="left" w:pos="2520"/>
        </w:tabs>
        <w:suppressAutoHyphens/>
        <w:spacing w:after="0" w:line="260" w:lineRule="exact"/>
        <w:ind w:left="1170" w:hanging="1170"/>
        <w:rPr>
          <w:rFonts w:eastAsia="Times New Roman" w:cstheme="minorHAnsi"/>
          <w:b/>
        </w:rPr>
      </w:pPr>
    </w:p>
    <w:p w14:paraId="7C633EB9" w14:textId="77777777" w:rsidR="001D46A8" w:rsidRPr="001171F7" w:rsidRDefault="001D46A8" w:rsidP="001D46A8">
      <w:pPr>
        <w:tabs>
          <w:tab w:val="left" w:pos="2520"/>
        </w:tabs>
        <w:suppressAutoHyphens/>
        <w:spacing w:after="0" w:line="260" w:lineRule="exact"/>
        <w:ind w:left="1170" w:hanging="1170"/>
        <w:rPr>
          <w:rFonts w:eastAsia="Times New Roman" w:cstheme="minorHAnsi"/>
          <w:b/>
        </w:rPr>
      </w:pPr>
      <w:r w:rsidRPr="001171F7">
        <w:rPr>
          <w:rFonts w:eastAsia="Times New Roman" w:cstheme="minorHAnsi"/>
          <w:b/>
        </w:rPr>
        <w:t xml:space="preserve">For the Hellenic Gas Transmission System </w:t>
      </w:r>
      <w:r w:rsidRPr="001171F7">
        <w:rPr>
          <w:rFonts w:eastAsia="Times New Roman" w:cstheme="minorHAnsi"/>
          <w:b/>
        </w:rPr>
        <w:tab/>
        <w:t>For the […]</w:t>
      </w:r>
    </w:p>
    <w:p w14:paraId="066A482E" w14:textId="77777777" w:rsidR="001D46A8" w:rsidRPr="001171F7" w:rsidRDefault="001D46A8" w:rsidP="001D46A8">
      <w:pPr>
        <w:tabs>
          <w:tab w:val="left" w:pos="2520"/>
        </w:tabs>
        <w:suppressAutoHyphens/>
        <w:spacing w:after="0" w:line="260" w:lineRule="exact"/>
        <w:ind w:left="1170" w:hanging="1170"/>
        <w:rPr>
          <w:rFonts w:eastAsia="Times New Roman" w:cstheme="minorHAnsi"/>
          <w:b/>
        </w:rPr>
      </w:pPr>
      <w:r w:rsidRPr="001171F7">
        <w:rPr>
          <w:rFonts w:eastAsia="Times New Roman" w:cstheme="minorHAnsi"/>
          <w:b/>
        </w:rPr>
        <w:t>Operator (DESFA</w:t>
      </w:r>
      <w:proofErr w:type="gramStart"/>
      <w:r w:rsidRPr="001171F7">
        <w:rPr>
          <w:rFonts w:eastAsia="Times New Roman" w:cstheme="minorHAnsi"/>
          <w:b/>
        </w:rPr>
        <w:t>) :</w:t>
      </w:r>
      <w:proofErr w:type="gramEnd"/>
    </w:p>
    <w:p w14:paraId="365FC1B0" w14:textId="77777777" w:rsidR="001D46A8" w:rsidRPr="001171F7" w:rsidRDefault="001D46A8" w:rsidP="001D46A8">
      <w:pPr>
        <w:tabs>
          <w:tab w:val="left" w:pos="2520"/>
        </w:tabs>
        <w:suppressAutoHyphens/>
        <w:spacing w:after="0" w:line="260" w:lineRule="exact"/>
        <w:ind w:left="1170" w:hanging="1170"/>
        <w:rPr>
          <w:rFonts w:eastAsia="Times New Roman" w:cstheme="minorHAnsi"/>
        </w:rPr>
      </w:pPr>
    </w:p>
    <w:p w14:paraId="12964087" w14:textId="77777777" w:rsidR="001D46A8" w:rsidRPr="001171F7" w:rsidRDefault="001D46A8" w:rsidP="001D46A8">
      <w:pPr>
        <w:tabs>
          <w:tab w:val="left" w:pos="2520"/>
        </w:tabs>
        <w:suppressAutoHyphens/>
        <w:spacing w:after="0" w:line="260" w:lineRule="exact"/>
        <w:ind w:left="1170" w:hanging="1170"/>
        <w:rPr>
          <w:rFonts w:eastAsia="Times New Roman" w:cstheme="minorHAnsi"/>
        </w:rPr>
      </w:pPr>
    </w:p>
    <w:p w14:paraId="29362860" w14:textId="77777777" w:rsidR="001D46A8" w:rsidRPr="001171F7" w:rsidRDefault="001D46A8" w:rsidP="001D46A8">
      <w:pPr>
        <w:tabs>
          <w:tab w:val="left" w:pos="2520"/>
        </w:tabs>
        <w:suppressAutoHyphens/>
        <w:spacing w:after="0" w:line="360" w:lineRule="auto"/>
        <w:ind w:left="1170" w:hanging="1170"/>
        <w:rPr>
          <w:rFonts w:eastAsia="Times New Roman" w:cstheme="minorHAnsi"/>
        </w:rPr>
      </w:pPr>
      <w:r w:rsidRPr="001171F7">
        <w:rPr>
          <w:rFonts w:eastAsia="Times New Roman" w:cstheme="minorHAnsi"/>
        </w:rPr>
        <w:t>Signature ..............................................</w:t>
      </w:r>
      <w:r w:rsidRPr="001171F7">
        <w:rPr>
          <w:rFonts w:eastAsia="Times New Roman" w:cstheme="minorHAnsi"/>
        </w:rPr>
        <w:tab/>
      </w:r>
      <w:r w:rsidRPr="001171F7">
        <w:rPr>
          <w:rFonts w:eastAsia="Times New Roman" w:cstheme="minorHAnsi"/>
        </w:rPr>
        <w:tab/>
        <w:t>Signature .............................................</w:t>
      </w:r>
    </w:p>
    <w:p w14:paraId="1DB7C098" w14:textId="77777777" w:rsidR="00226423" w:rsidRDefault="00226423" w:rsidP="001D46A8">
      <w:pPr>
        <w:tabs>
          <w:tab w:val="left" w:pos="2520"/>
        </w:tabs>
        <w:suppressAutoHyphens/>
        <w:spacing w:after="0" w:line="360" w:lineRule="auto"/>
        <w:ind w:left="1170" w:hanging="1170"/>
        <w:rPr>
          <w:rFonts w:eastAsia="Times New Roman" w:cstheme="minorHAnsi"/>
        </w:rPr>
      </w:pPr>
    </w:p>
    <w:p w14:paraId="2D645944" w14:textId="77777777" w:rsidR="001D46A8" w:rsidRPr="001171F7" w:rsidRDefault="001D46A8" w:rsidP="001D46A8">
      <w:pPr>
        <w:tabs>
          <w:tab w:val="left" w:pos="2520"/>
        </w:tabs>
        <w:suppressAutoHyphens/>
        <w:spacing w:after="0" w:line="360" w:lineRule="auto"/>
        <w:ind w:left="1170" w:hanging="1170"/>
        <w:rPr>
          <w:rFonts w:eastAsia="Times New Roman" w:cstheme="minorHAnsi"/>
        </w:rPr>
      </w:pPr>
      <w:r w:rsidRPr="001171F7">
        <w:rPr>
          <w:rFonts w:eastAsia="Times New Roman" w:cstheme="minorHAnsi"/>
        </w:rPr>
        <w:t>Name....................................................</w:t>
      </w:r>
      <w:r w:rsidRPr="001171F7">
        <w:rPr>
          <w:rFonts w:eastAsia="Times New Roman" w:cstheme="minorHAnsi"/>
        </w:rPr>
        <w:tab/>
      </w:r>
      <w:r w:rsidRPr="001171F7">
        <w:rPr>
          <w:rFonts w:eastAsia="Times New Roman" w:cstheme="minorHAnsi"/>
        </w:rPr>
        <w:tab/>
        <w:t>Name....................................................</w:t>
      </w:r>
    </w:p>
    <w:p w14:paraId="7DC15B91" w14:textId="77777777" w:rsidR="00226423" w:rsidRDefault="00226423" w:rsidP="001D46A8">
      <w:pPr>
        <w:suppressAutoHyphens/>
        <w:spacing w:after="0" w:line="360" w:lineRule="auto"/>
        <w:rPr>
          <w:rFonts w:eastAsia="Times New Roman" w:cstheme="minorHAnsi"/>
        </w:rPr>
      </w:pPr>
    </w:p>
    <w:p w14:paraId="7DE2D005" w14:textId="77777777" w:rsidR="0014252A" w:rsidRPr="001171F7" w:rsidRDefault="001D46A8" w:rsidP="001D46A8">
      <w:pPr>
        <w:suppressAutoHyphens/>
        <w:spacing w:after="0" w:line="360" w:lineRule="auto"/>
        <w:rPr>
          <w:rFonts w:eastAsia="Times New Roman" w:cstheme="minorHAnsi"/>
        </w:rPr>
      </w:pPr>
      <w:r w:rsidRPr="001171F7">
        <w:rPr>
          <w:rFonts w:eastAsia="Times New Roman" w:cstheme="minorHAnsi"/>
        </w:rPr>
        <w:t>Title ......................................................</w:t>
      </w:r>
      <w:r w:rsidRPr="001171F7">
        <w:rPr>
          <w:rFonts w:eastAsia="Times New Roman" w:cstheme="minorHAnsi"/>
        </w:rPr>
        <w:tab/>
      </w:r>
      <w:r w:rsidRPr="001171F7">
        <w:rPr>
          <w:rFonts w:eastAsia="Times New Roman" w:cstheme="minorHAnsi"/>
        </w:rPr>
        <w:tab/>
        <w:t>Title ......................................................</w:t>
      </w:r>
    </w:p>
    <w:p w14:paraId="015343E2" w14:textId="66C3E8BC" w:rsidR="0014252A" w:rsidRPr="001171F7" w:rsidRDefault="0014252A">
      <w:pPr>
        <w:rPr>
          <w:rFonts w:eastAsia="Times New Roman" w:cstheme="minorHAnsi"/>
        </w:rPr>
      </w:pPr>
    </w:p>
    <w:p w14:paraId="725FF683" w14:textId="77777777" w:rsidR="00D900F7" w:rsidRPr="001D27C6" w:rsidRDefault="00D900F7" w:rsidP="00D900F7">
      <w:pPr>
        <w:jc w:val="center"/>
        <w:rPr>
          <w:rFonts w:cstheme="minorHAnsi"/>
          <w:sz w:val="20"/>
          <w:szCs w:val="20"/>
          <w:lang w:val="en-GB"/>
        </w:rPr>
      </w:pPr>
    </w:p>
    <w:p w14:paraId="6680EF62" w14:textId="77777777" w:rsidR="00D900F7" w:rsidRPr="001D27C6" w:rsidRDefault="00D900F7" w:rsidP="00D900F7">
      <w:pPr>
        <w:jc w:val="center"/>
        <w:rPr>
          <w:rFonts w:cstheme="minorHAnsi"/>
          <w:sz w:val="20"/>
          <w:szCs w:val="20"/>
          <w:lang w:val="en-GB"/>
        </w:rPr>
      </w:pPr>
    </w:p>
    <w:p w14:paraId="7B6C6847" w14:textId="77777777" w:rsidR="00D900F7" w:rsidRPr="001D27C6" w:rsidRDefault="00D900F7" w:rsidP="00D900F7">
      <w:pPr>
        <w:jc w:val="center"/>
        <w:rPr>
          <w:rFonts w:cstheme="minorHAnsi"/>
          <w:sz w:val="20"/>
          <w:szCs w:val="20"/>
          <w:lang w:val="en-GB"/>
        </w:rPr>
      </w:pPr>
    </w:p>
    <w:p w14:paraId="08E9584B" w14:textId="77777777" w:rsidR="00D900F7" w:rsidRPr="001D27C6" w:rsidRDefault="00D900F7" w:rsidP="00D900F7">
      <w:pPr>
        <w:jc w:val="center"/>
        <w:rPr>
          <w:rFonts w:cstheme="minorHAnsi"/>
          <w:sz w:val="20"/>
          <w:szCs w:val="20"/>
          <w:lang w:val="en-GB"/>
        </w:rPr>
      </w:pPr>
    </w:p>
    <w:p w14:paraId="7AECE951" w14:textId="77777777" w:rsidR="00D900F7" w:rsidRPr="001D27C6" w:rsidRDefault="00D900F7" w:rsidP="00D900F7">
      <w:pPr>
        <w:jc w:val="center"/>
        <w:rPr>
          <w:rFonts w:cstheme="minorHAnsi"/>
          <w:sz w:val="20"/>
          <w:szCs w:val="20"/>
          <w:lang w:val="en-GB"/>
        </w:rPr>
      </w:pPr>
    </w:p>
    <w:p w14:paraId="6DBFD1D8" w14:textId="77777777" w:rsidR="00D900F7" w:rsidRPr="001D27C6" w:rsidRDefault="00D900F7" w:rsidP="00D900F7">
      <w:pPr>
        <w:jc w:val="center"/>
        <w:rPr>
          <w:rFonts w:cstheme="minorHAnsi"/>
          <w:sz w:val="20"/>
          <w:szCs w:val="20"/>
          <w:lang w:val="en-GB"/>
        </w:rPr>
      </w:pPr>
    </w:p>
    <w:p w14:paraId="72E22A66" w14:textId="77777777" w:rsidR="00D900F7" w:rsidRPr="001D27C6" w:rsidRDefault="00D900F7" w:rsidP="00D900F7">
      <w:pPr>
        <w:jc w:val="center"/>
        <w:rPr>
          <w:rFonts w:cstheme="minorHAnsi"/>
          <w:sz w:val="20"/>
          <w:szCs w:val="20"/>
          <w:lang w:val="en-GB"/>
        </w:rPr>
      </w:pPr>
    </w:p>
    <w:p w14:paraId="698190A6" w14:textId="77777777" w:rsidR="00D900F7" w:rsidRPr="001D27C6" w:rsidRDefault="00D900F7" w:rsidP="00D900F7">
      <w:pPr>
        <w:jc w:val="center"/>
        <w:rPr>
          <w:rFonts w:cstheme="minorHAnsi"/>
          <w:sz w:val="20"/>
          <w:szCs w:val="20"/>
          <w:lang w:val="en-GB"/>
        </w:rPr>
      </w:pPr>
    </w:p>
    <w:p w14:paraId="2A972B6A" w14:textId="77777777" w:rsidR="00D900F7" w:rsidRPr="001D27C6" w:rsidRDefault="00D900F7" w:rsidP="00D900F7">
      <w:pPr>
        <w:jc w:val="center"/>
        <w:rPr>
          <w:rFonts w:cstheme="minorHAnsi"/>
          <w:sz w:val="20"/>
          <w:szCs w:val="20"/>
          <w:lang w:val="en-GB"/>
        </w:rPr>
      </w:pPr>
    </w:p>
    <w:p w14:paraId="268263E4" w14:textId="77777777" w:rsidR="00FE158E" w:rsidRDefault="00FE158E" w:rsidP="00D900F7">
      <w:pPr>
        <w:jc w:val="center"/>
        <w:rPr>
          <w:rFonts w:cstheme="minorHAnsi"/>
          <w:sz w:val="20"/>
          <w:szCs w:val="20"/>
          <w:lang w:val="en-GB"/>
        </w:rPr>
      </w:pPr>
    </w:p>
    <w:p w14:paraId="4CD49FA5" w14:textId="77777777" w:rsidR="00FE158E" w:rsidRDefault="00FE158E" w:rsidP="00D900F7">
      <w:pPr>
        <w:jc w:val="center"/>
        <w:rPr>
          <w:rFonts w:cstheme="minorHAnsi"/>
          <w:sz w:val="20"/>
          <w:szCs w:val="20"/>
          <w:lang w:val="en-GB"/>
        </w:rPr>
      </w:pPr>
    </w:p>
    <w:p w14:paraId="7A167B64" w14:textId="77777777" w:rsidR="00FE158E" w:rsidRDefault="00FE158E" w:rsidP="00D900F7">
      <w:pPr>
        <w:jc w:val="center"/>
        <w:rPr>
          <w:rFonts w:cstheme="minorHAnsi"/>
          <w:sz w:val="20"/>
          <w:szCs w:val="20"/>
          <w:lang w:val="en-GB"/>
        </w:rPr>
      </w:pPr>
    </w:p>
    <w:p w14:paraId="569381DB" w14:textId="77777777" w:rsidR="00FE158E" w:rsidRDefault="00FE158E" w:rsidP="00D900F7">
      <w:pPr>
        <w:jc w:val="center"/>
        <w:rPr>
          <w:rFonts w:cstheme="minorHAnsi"/>
          <w:sz w:val="20"/>
          <w:szCs w:val="20"/>
          <w:lang w:val="en-GB"/>
        </w:rPr>
      </w:pPr>
    </w:p>
    <w:p w14:paraId="64C8B8B2" w14:textId="77777777" w:rsidR="00FE158E" w:rsidRDefault="00FE158E" w:rsidP="00D900F7">
      <w:pPr>
        <w:jc w:val="center"/>
        <w:rPr>
          <w:rFonts w:cstheme="minorHAnsi"/>
          <w:sz w:val="20"/>
          <w:szCs w:val="20"/>
          <w:lang w:val="en-GB"/>
        </w:rPr>
      </w:pPr>
    </w:p>
    <w:p w14:paraId="7043475C" w14:textId="77777777" w:rsidR="00FE158E" w:rsidRDefault="00FE158E" w:rsidP="00D900F7">
      <w:pPr>
        <w:jc w:val="center"/>
        <w:rPr>
          <w:rFonts w:cstheme="minorHAnsi"/>
          <w:sz w:val="20"/>
          <w:szCs w:val="20"/>
          <w:lang w:val="en-GB"/>
        </w:rPr>
      </w:pPr>
    </w:p>
    <w:p w14:paraId="352D644E" w14:textId="77777777" w:rsidR="00FE158E" w:rsidRDefault="00FE158E" w:rsidP="00D900F7">
      <w:pPr>
        <w:jc w:val="center"/>
        <w:rPr>
          <w:rFonts w:cstheme="minorHAnsi"/>
          <w:sz w:val="20"/>
          <w:szCs w:val="20"/>
          <w:lang w:val="en-GB"/>
        </w:rPr>
      </w:pPr>
    </w:p>
    <w:p w14:paraId="77C30C93" w14:textId="77777777" w:rsidR="00FE158E" w:rsidRDefault="00FE158E" w:rsidP="00D900F7">
      <w:pPr>
        <w:jc w:val="center"/>
        <w:rPr>
          <w:rFonts w:cstheme="minorHAnsi"/>
          <w:sz w:val="20"/>
          <w:szCs w:val="20"/>
          <w:lang w:val="en-GB"/>
        </w:rPr>
      </w:pPr>
    </w:p>
    <w:p w14:paraId="26BF996F" w14:textId="77777777" w:rsidR="00FE158E" w:rsidRDefault="00FE158E" w:rsidP="00D900F7">
      <w:pPr>
        <w:jc w:val="center"/>
        <w:rPr>
          <w:rFonts w:cstheme="minorHAnsi"/>
          <w:sz w:val="20"/>
          <w:szCs w:val="20"/>
          <w:lang w:val="en-GB"/>
        </w:rPr>
      </w:pPr>
    </w:p>
    <w:p w14:paraId="5887989D" w14:textId="77777777" w:rsidR="00FE158E" w:rsidRDefault="00FE158E" w:rsidP="00D900F7">
      <w:pPr>
        <w:jc w:val="center"/>
        <w:rPr>
          <w:rFonts w:cstheme="minorHAnsi"/>
          <w:sz w:val="20"/>
          <w:szCs w:val="20"/>
          <w:lang w:val="en-GB"/>
        </w:rPr>
      </w:pPr>
    </w:p>
    <w:p w14:paraId="046945B2" w14:textId="1F6DF61E" w:rsidR="00D900F7" w:rsidRPr="001D27C6" w:rsidRDefault="00D900F7" w:rsidP="00D900F7">
      <w:pPr>
        <w:jc w:val="center"/>
        <w:rPr>
          <w:rFonts w:cstheme="minorHAnsi"/>
          <w:sz w:val="20"/>
          <w:szCs w:val="20"/>
          <w:lang w:val="en-GB"/>
        </w:rPr>
      </w:pPr>
      <w:r w:rsidRPr="001D27C6">
        <w:rPr>
          <w:rFonts w:cstheme="minorHAnsi"/>
          <w:sz w:val="20"/>
          <w:szCs w:val="20"/>
          <w:lang w:val="en-GB"/>
        </w:rPr>
        <w:t>(</w:t>
      </w:r>
      <w:r>
        <w:rPr>
          <w:rFonts w:cstheme="minorHAnsi"/>
          <w:sz w:val="20"/>
          <w:szCs w:val="20"/>
          <w:lang w:val="en-GB"/>
        </w:rPr>
        <w:t>End of document</w:t>
      </w:r>
      <w:r w:rsidRPr="001D27C6">
        <w:rPr>
          <w:rFonts w:cstheme="minorHAnsi"/>
          <w:sz w:val="20"/>
          <w:szCs w:val="20"/>
          <w:lang w:val="en-GB"/>
        </w:rPr>
        <w:t xml:space="preserve">) </w:t>
      </w:r>
    </w:p>
    <w:p w14:paraId="55A37C61" w14:textId="77777777" w:rsidR="001D46A8" w:rsidRPr="00D900F7" w:rsidRDefault="001D46A8" w:rsidP="001D46A8">
      <w:pPr>
        <w:suppressAutoHyphens/>
        <w:spacing w:after="0" w:line="360" w:lineRule="auto"/>
        <w:rPr>
          <w:rFonts w:eastAsia="Times New Roman" w:cstheme="minorHAnsi"/>
          <w:lang w:val="en-GB"/>
        </w:rPr>
      </w:pPr>
    </w:p>
    <w:sectPr w:rsidR="001D46A8" w:rsidRPr="00D900F7" w:rsidSect="00131333">
      <w:headerReference w:type="default" r:id="rId27"/>
      <w:footerReference w:type="default" r:id="rId28"/>
      <w:footerReference w:type="first" r:id="rId29"/>
      <w:pgSz w:w="11906" w:h="16838" w:code="9"/>
      <w:pgMar w:top="1276" w:right="1440" w:bottom="1440" w:left="1440"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F9E0A" w14:textId="77777777" w:rsidR="00BA07F4" w:rsidRDefault="00BA07F4" w:rsidP="0015719B">
      <w:pPr>
        <w:spacing w:after="0" w:line="240" w:lineRule="auto"/>
      </w:pPr>
      <w:r>
        <w:separator/>
      </w:r>
    </w:p>
  </w:endnote>
  <w:endnote w:type="continuationSeparator" w:id="0">
    <w:p w14:paraId="42972C19" w14:textId="77777777" w:rsidR="00BA07F4" w:rsidRDefault="00BA07F4" w:rsidP="0015719B">
      <w:pPr>
        <w:spacing w:after="0" w:line="240" w:lineRule="auto"/>
      </w:pPr>
      <w:r>
        <w:continuationSeparator/>
      </w:r>
    </w:p>
  </w:endnote>
  <w:endnote w:type="continuationNotice" w:id="1">
    <w:p w14:paraId="1DEC7F4E" w14:textId="77777777" w:rsidR="00BA07F4" w:rsidRDefault="00BA07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Garamond">
    <w:panose1 w:val="02020404030301010803"/>
    <w:charset w:val="A1"/>
    <w:family w:val="roman"/>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Verdana,Bold">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95859"/>
      <w:docPartObj>
        <w:docPartGallery w:val="Page Numbers (Bottom of Page)"/>
        <w:docPartUnique/>
      </w:docPartObj>
    </w:sdtPr>
    <w:sdtContent>
      <w:sdt>
        <w:sdtPr>
          <w:id w:val="-217747688"/>
          <w:docPartObj>
            <w:docPartGallery w:val="Page Numbers (Top of Page)"/>
            <w:docPartUnique/>
          </w:docPartObj>
        </w:sdtPr>
        <w:sdtContent>
          <w:p w14:paraId="1F454320" w14:textId="1E92E271" w:rsidR="00192F18" w:rsidRDefault="00192F18">
            <w:pPr>
              <w:pStyle w:val="Footer"/>
              <w:jc w:val="center"/>
            </w:pPr>
            <w:proofErr w:type="spellStart"/>
            <w:r>
              <w:t>Page</w:t>
            </w:r>
            <w:proofErr w:type="spellEnd"/>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5FEE740" w14:textId="77777777" w:rsidR="00192F18" w:rsidRDefault="00192F18">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4A268" w14:textId="286E516D" w:rsidR="00192F18" w:rsidRPr="00D00AA9" w:rsidRDefault="00192F18" w:rsidP="002C020A">
    <w:pPr>
      <w:pStyle w:val="Footer"/>
      <w:tabs>
        <w:tab w:val="clear" w:pos="4153"/>
        <w:tab w:val="clear" w:pos="8306"/>
      </w:tabs>
      <w:ind w:right="3817"/>
      <w:jc w:val="right"/>
      <w:rPr>
        <w:rFonts w:cstheme="minorHAnsi"/>
        <w:b/>
        <w:bCs/>
      </w:rPr>
    </w:pPr>
  </w:p>
  <w:p w14:paraId="41575995" w14:textId="77777777" w:rsidR="00192F18" w:rsidRDefault="00192F18">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698386"/>
      <w:docPartObj>
        <w:docPartGallery w:val="Page Numbers (Bottom of Page)"/>
        <w:docPartUnique/>
      </w:docPartObj>
    </w:sdtPr>
    <w:sdtContent>
      <w:sdt>
        <w:sdtPr>
          <w:id w:val="1728636285"/>
          <w:docPartObj>
            <w:docPartGallery w:val="Page Numbers (Top of Page)"/>
            <w:docPartUnique/>
          </w:docPartObj>
        </w:sdtPr>
        <w:sdtContent>
          <w:p w14:paraId="39BEB215" w14:textId="3784E430" w:rsidR="00413C78" w:rsidRPr="00FE158E" w:rsidRDefault="00413C78">
            <w:pPr>
              <w:pStyle w:val="Footer"/>
              <w:jc w:val="center"/>
            </w:pPr>
            <w:proofErr w:type="spellStart"/>
            <w:r w:rsidRPr="00FE158E">
              <w:t>Page</w:t>
            </w:r>
            <w:proofErr w:type="spellEnd"/>
            <w:r w:rsidRPr="00FE158E">
              <w:t xml:space="preserve"> </w:t>
            </w:r>
            <w:r w:rsidRPr="00FE158E">
              <w:rPr>
                <w:b/>
                <w:bCs/>
              </w:rPr>
              <w:fldChar w:fldCharType="begin"/>
            </w:r>
            <w:r w:rsidRPr="00FE158E">
              <w:rPr>
                <w:b/>
                <w:bCs/>
              </w:rPr>
              <w:instrText xml:space="preserve"> PAGE </w:instrText>
            </w:r>
            <w:r w:rsidRPr="00FE158E">
              <w:rPr>
                <w:b/>
                <w:bCs/>
              </w:rPr>
              <w:fldChar w:fldCharType="separate"/>
            </w:r>
            <w:r w:rsidRPr="00FE158E">
              <w:rPr>
                <w:b/>
                <w:bCs/>
              </w:rPr>
              <w:t>38</w:t>
            </w:r>
            <w:r w:rsidRPr="00FE158E">
              <w:rPr>
                <w:b/>
                <w:bCs/>
              </w:rPr>
              <w:fldChar w:fldCharType="end"/>
            </w:r>
            <w:r w:rsidRPr="00FE158E">
              <w:t xml:space="preserve"> of </w:t>
            </w:r>
            <w:r w:rsidR="00192F18" w:rsidRPr="00FE158E">
              <w:rPr>
                <w:b/>
                <w:bCs/>
              </w:rPr>
              <w:fldChar w:fldCharType="begin"/>
            </w:r>
            <w:r w:rsidR="00192F18" w:rsidRPr="00FE158E">
              <w:rPr>
                <w:b/>
                <w:bCs/>
              </w:rPr>
              <w:instrText xml:space="preserve"> NUMPAGES   \* MERGEFORMAT </w:instrText>
            </w:r>
            <w:r w:rsidR="00192F18" w:rsidRPr="00FE158E">
              <w:rPr>
                <w:b/>
                <w:bCs/>
              </w:rPr>
              <w:fldChar w:fldCharType="separate"/>
            </w:r>
            <w:r w:rsidR="00192F18" w:rsidRPr="00FE158E">
              <w:rPr>
                <w:b/>
                <w:bCs/>
              </w:rPr>
              <w:t>53</w:t>
            </w:r>
            <w:r w:rsidR="00192F18" w:rsidRPr="00FE158E">
              <w:rPr>
                <w:b/>
                <w:bCs/>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00413C78" w14:paraId="456E9665" w14:textId="77777777" w:rsidTr="00280AE1">
      <w:tc>
        <w:tcPr>
          <w:tcW w:w="3135" w:type="dxa"/>
        </w:tcPr>
        <w:p w14:paraId="0FDCF0A0" w14:textId="77777777" w:rsidR="00413C78" w:rsidRDefault="00413C78" w:rsidP="00280AE1">
          <w:pPr>
            <w:pStyle w:val="Header"/>
            <w:ind w:left="-115"/>
          </w:pPr>
        </w:p>
      </w:tc>
      <w:tc>
        <w:tcPr>
          <w:tcW w:w="3135" w:type="dxa"/>
        </w:tcPr>
        <w:p w14:paraId="2A07DB21" w14:textId="77777777" w:rsidR="00413C78" w:rsidRDefault="00413C78" w:rsidP="00280AE1">
          <w:pPr>
            <w:pStyle w:val="Header"/>
            <w:jc w:val="center"/>
          </w:pPr>
        </w:p>
      </w:tc>
      <w:tc>
        <w:tcPr>
          <w:tcW w:w="3135" w:type="dxa"/>
        </w:tcPr>
        <w:p w14:paraId="0A6E52E3" w14:textId="77777777" w:rsidR="00413C78" w:rsidRDefault="00413C78" w:rsidP="00280AE1">
          <w:pPr>
            <w:pStyle w:val="Header"/>
            <w:ind w:right="-115"/>
            <w:jc w:val="right"/>
          </w:pPr>
        </w:p>
      </w:tc>
    </w:tr>
  </w:tbl>
  <w:p w14:paraId="3E8C88EB" w14:textId="77777777" w:rsidR="00413C78" w:rsidRDefault="00413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7D981" w14:textId="77777777" w:rsidR="00BA07F4" w:rsidRDefault="00BA07F4" w:rsidP="0015719B">
      <w:pPr>
        <w:spacing w:after="0" w:line="240" w:lineRule="auto"/>
      </w:pPr>
      <w:r>
        <w:separator/>
      </w:r>
    </w:p>
  </w:footnote>
  <w:footnote w:type="continuationSeparator" w:id="0">
    <w:p w14:paraId="5783562A" w14:textId="77777777" w:rsidR="00BA07F4" w:rsidRDefault="00BA07F4" w:rsidP="0015719B">
      <w:pPr>
        <w:spacing w:after="0" w:line="240" w:lineRule="auto"/>
      </w:pPr>
      <w:r>
        <w:continuationSeparator/>
      </w:r>
    </w:p>
  </w:footnote>
  <w:footnote w:type="continuationNotice" w:id="1">
    <w:p w14:paraId="1FBAC0C6" w14:textId="77777777" w:rsidR="00BA07F4" w:rsidRDefault="00BA07F4">
      <w:pPr>
        <w:spacing w:after="0" w:line="240" w:lineRule="auto"/>
      </w:pPr>
    </w:p>
  </w:footnote>
  <w:footnote w:id="2">
    <w:p w14:paraId="0C8772F3" w14:textId="77777777" w:rsidR="00413C78" w:rsidRPr="009054E8" w:rsidRDefault="00413C78">
      <w:pPr>
        <w:pStyle w:val="FootnoteText"/>
        <w:rPr>
          <w:i/>
          <w:lang w:val="en-US"/>
        </w:rPr>
      </w:pPr>
      <w:r w:rsidRPr="009054E8">
        <w:rPr>
          <w:rStyle w:val="FootnoteReference"/>
          <w:i/>
        </w:rPr>
        <w:footnoteRef/>
      </w:r>
      <w:r w:rsidRPr="009054E8">
        <w:rPr>
          <w:i/>
        </w:rPr>
        <w:t xml:space="preserve"> </w:t>
      </w:r>
      <w:r w:rsidRPr="005A6818">
        <w:rPr>
          <w:i/>
          <w:lang w:val="en-US"/>
        </w:rPr>
        <w:t>Hellenic Regulatory Authority for Energy relevant decision is still pending.</w:t>
      </w:r>
    </w:p>
  </w:footnote>
  <w:footnote w:id="3">
    <w:p w14:paraId="2C7CDAD3" w14:textId="3AD37924" w:rsidR="006B0869" w:rsidRPr="006B0869" w:rsidRDefault="006B0869">
      <w:pPr>
        <w:pStyle w:val="FootnoteText"/>
      </w:pPr>
      <w:r>
        <w:rPr>
          <w:rStyle w:val="FootnoteReference"/>
        </w:rPr>
        <w:footnoteRef/>
      </w:r>
      <w:r>
        <w:t xml:space="preserve"> </w:t>
      </w:r>
      <w:hyperlink r:id="rId1" w:history="1">
        <w:r w:rsidR="00267624" w:rsidRPr="00770535">
          <w:rPr>
            <w:rStyle w:val="Hyperlink"/>
          </w:rPr>
          <w:t>https://www.desfa.gr/en/regulatory-framework/compliance/code-of-conduct</w:t>
        </w:r>
      </w:hyperlink>
      <w:r w:rsidR="00267624">
        <w:t xml:space="preserve"> </w:t>
      </w:r>
    </w:p>
  </w:footnote>
  <w:footnote w:id="4">
    <w:p w14:paraId="2D07E3CD" w14:textId="77777777" w:rsidR="00413C78" w:rsidRPr="004F1639" w:rsidRDefault="00413C78" w:rsidP="00057084">
      <w:pPr>
        <w:pStyle w:val="FootnoteText"/>
        <w:rPr>
          <w:i/>
        </w:rPr>
      </w:pPr>
      <w:r w:rsidRPr="004F1639">
        <w:rPr>
          <w:rStyle w:val="FootnoteReference"/>
          <w:i/>
        </w:rPr>
        <w:footnoteRef/>
      </w:r>
      <w:r w:rsidRPr="004F1639">
        <w:rPr>
          <w:i/>
        </w:rPr>
        <w:t xml:space="preserve"> </w:t>
      </w:r>
      <w:hyperlink r:id="rId2" w:history="1">
        <w:r w:rsidRPr="004F1639">
          <w:rPr>
            <w:rStyle w:val="Hyperlink"/>
            <w:i/>
          </w:rPr>
          <w:t>https://www.desfa.gr/regulatory-framework/compliance/prostasia-prosopikwn-dedomenwn</w:t>
        </w:r>
      </w:hyperlink>
    </w:p>
  </w:footnote>
  <w:footnote w:id="5">
    <w:p w14:paraId="22BAED24" w14:textId="77777777" w:rsidR="00413C78" w:rsidRPr="00D76C6B" w:rsidRDefault="00413C78" w:rsidP="00D849C6">
      <w:pPr>
        <w:pStyle w:val="FootnoteText"/>
        <w:rPr>
          <w:lang w:val="en-US"/>
        </w:rPr>
      </w:pPr>
      <w:r>
        <w:rPr>
          <w:rStyle w:val="FootnoteReference"/>
        </w:rPr>
        <w:footnoteRef/>
      </w:r>
      <w:r w:rsidRPr="00D76C6B">
        <w:rPr>
          <w:lang w:val="en-US"/>
        </w:rPr>
        <w:t xml:space="preserve"> </w:t>
      </w:r>
      <w:r>
        <w:rPr>
          <w:lang w:val="en-US"/>
        </w:rPr>
        <w:t>To complete the number of the Standard Transmission Agreement signed with DESFA</w:t>
      </w:r>
    </w:p>
  </w:footnote>
  <w:footnote w:id="6">
    <w:p w14:paraId="7828445C" w14:textId="77777777" w:rsidR="00413C78" w:rsidRPr="002677DA" w:rsidRDefault="00413C78" w:rsidP="00D849C6">
      <w:pPr>
        <w:pStyle w:val="FootnoteText"/>
        <w:rPr>
          <w:lang w:val="en-US"/>
        </w:rPr>
      </w:pPr>
      <w:r>
        <w:rPr>
          <w:rStyle w:val="FootnoteReference"/>
        </w:rPr>
        <w:footnoteRef/>
      </w:r>
      <w:r w:rsidRPr="0042251A">
        <w:rPr>
          <w:lang w:val="en-US"/>
        </w:rPr>
        <w:t xml:space="preserve"> </w:t>
      </w:r>
      <w:bookmarkStart w:id="69" w:name="_Hlk71908877"/>
      <w:r>
        <w:rPr>
          <w:lang w:val="en-US"/>
        </w:rPr>
        <w:t>To be completed by Applicant with specific reference of the documents submitted</w:t>
      </w:r>
      <w:bookmarkEnd w:id="69"/>
      <w:r>
        <w:rPr>
          <w:lang w:val="en-US"/>
        </w:rPr>
        <w:t>, if applicable</w:t>
      </w:r>
    </w:p>
  </w:footnote>
  <w:footnote w:id="7">
    <w:p w14:paraId="3BD365CC" w14:textId="77777777" w:rsidR="00413C78" w:rsidRPr="00892890" w:rsidRDefault="00413C78" w:rsidP="00D849C6">
      <w:pPr>
        <w:pStyle w:val="FootnoteText"/>
        <w:rPr>
          <w:lang w:val="en-US"/>
        </w:rPr>
      </w:pPr>
      <w:r>
        <w:rPr>
          <w:rStyle w:val="FootnoteReference"/>
        </w:rPr>
        <w:footnoteRef/>
      </w:r>
      <w:r w:rsidRPr="00892890">
        <w:rPr>
          <w:lang w:val="en-US"/>
        </w:rPr>
        <w:t xml:space="preserve"> </w:t>
      </w:r>
      <w:bookmarkStart w:id="70" w:name="_Hlk71909070"/>
      <w:r w:rsidRPr="00892890">
        <w:rPr>
          <w:lang w:val="en-US"/>
        </w:rPr>
        <w:t xml:space="preserve">To be completed by Applicant with </w:t>
      </w:r>
      <w:r>
        <w:rPr>
          <w:lang w:val="en-US"/>
        </w:rPr>
        <w:t>specific</w:t>
      </w:r>
      <w:r w:rsidRPr="00892890">
        <w:rPr>
          <w:lang w:val="en-US"/>
        </w:rPr>
        <w:t xml:space="preserve"> reference of the documents submitted</w:t>
      </w:r>
      <w:bookmarkEnd w:id="70"/>
      <w:r>
        <w:rPr>
          <w:lang w:val="en-US"/>
        </w:rPr>
        <w:t>, as the case may be</w:t>
      </w:r>
    </w:p>
  </w:footnote>
  <w:footnote w:id="8">
    <w:p w14:paraId="37F51E00" w14:textId="77777777" w:rsidR="00413C78" w:rsidRPr="00B43934" w:rsidRDefault="00413C78" w:rsidP="00D849C6">
      <w:pPr>
        <w:pStyle w:val="FootnoteText"/>
        <w:rPr>
          <w:lang w:val="en-US"/>
        </w:rPr>
      </w:pPr>
      <w:r>
        <w:rPr>
          <w:rStyle w:val="FootnoteReference"/>
        </w:rPr>
        <w:footnoteRef/>
      </w:r>
      <w:r w:rsidRPr="00B43934">
        <w:rPr>
          <w:lang w:val="en-US"/>
        </w:rPr>
        <w:t xml:space="preserve"> To be completed by Applicant with specific reference of the documents submitted</w:t>
      </w:r>
    </w:p>
  </w:footnote>
  <w:footnote w:id="9">
    <w:p w14:paraId="518CA623" w14:textId="77777777" w:rsidR="00413C78" w:rsidRPr="009521D7" w:rsidRDefault="00413C78" w:rsidP="00D849C6">
      <w:pPr>
        <w:pStyle w:val="FootnoteText"/>
        <w:rPr>
          <w:lang w:val="en-US"/>
        </w:rPr>
      </w:pPr>
      <w:r>
        <w:rPr>
          <w:rStyle w:val="FootnoteReference"/>
        </w:rPr>
        <w:footnoteRef/>
      </w:r>
      <w:r w:rsidRPr="009521D7">
        <w:rPr>
          <w:lang w:val="en-US"/>
        </w:rPr>
        <w:t xml:space="preserve"> To </w:t>
      </w:r>
      <w:r>
        <w:rPr>
          <w:lang w:val="en-US"/>
        </w:rPr>
        <w:t xml:space="preserve">complete the </w:t>
      </w:r>
      <w:r w:rsidRPr="009521D7">
        <w:rPr>
          <w:lang w:val="en-US"/>
        </w:rPr>
        <w:t>number</w:t>
      </w:r>
      <w:r>
        <w:rPr>
          <w:lang w:val="en-US"/>
        </w:rPr>
        <w:t xml:space="preserve"> and date of the bank guarantee</w:t>
      </w:r>
    </w:p>
  </w:footnote>
  <w:footnote w:id="10">
    <w:p w14:paraId="1BCE7923" w14:textId="105AC85E" w:rsidR="00413C78" w:rsidRPr="004A7581" w:rsidRDefault="00413C78" w:rsidP="00D849C6">
      <w:pPr>
        <w:pStyle w:val="FootnoteText"/>
        <w:rPr>
          <w:rFonts w:ascii="Arial" w:eastAsiaTheme="minorHAnsi" w:hAnsi="Arial" w:cs="Arial"/>
          <w:i/>
          <w:sz w:val="18"/>
          <w:szCs w:val="18"/>
        </w:rPr>
      </w:pPr>
      <w:r w:rsidRPr="004A7581">
        <w:rPr>
          <w:rStyle w:val="FootnoteReference"/>
          <w:rFonts w:ascii="Arial" w:hAnsi="Arial" w:cs="Arial"/>
          <w:i/>
        </w:rPr>
        <w:t>[1]</w:t>
      </w:r>
      <w:r w:rsidRPr="004A7581">
        <w:rPr>
          <w:rFonts w:ascii="Arial" w:hAnsi="Arial" w:cs="Arial"/>
          <w:i/>
          <w:sz w:val="18"/>
          <w:szCs w:val="18"/>
        </w:rPr>
        <w:t xml:space="preserve"> </w:t>
      </w:r>
      <w:r w:rsidRPr="007B52CF">
        <w:rPr>
          <w:rFonts w:asciiTheme="minorHAnsi" w:hAnsiTheme="minorHAnsi" w:cstheme="minorHAnsi"/>
          <w:i/>
          <w:sz w:val="18"/>
          <w:szCs w:val="18"/>
        </w:rPr>
        <w:t xml:space="preserve">The Participant is obliged to submit also a </w:t>
      </w:r>
      <w:r w:rsidR="00B03B5F">
        <w:rPr>
          <w:rFonts w:asciiTheme="minorHAnsi" w:hAnsiTheme="minorHAnsi" w:cstheme="minorHAnsi"/>
          <w:i/>
          <w:sz w:val="18"/>
          <w:szCs w:val="18"/>
        </w:rPr>
        <w:t xml:space="preserve">respective </w:t>
      </w:r>
      <w:r w:rsidRPr="007B52CF">
        <w:rPr>
          <w:rFonts w:asciiTheme="minorHAnsi" w:hAnsiTheme="minorHAnsi" w:cstheme="minorHAnsi"/>
          <w:i/>
          <w:sz w:val="18"/>
          <w:szCs w:val="18"/>
        </w:rPr>
        <w:t>Binding Bid to TAP</w:t>
      </w:r>
      <w:r w:rsidR="00B03B5F">
        <w:rPr>
          <w:rFonts w:asciiTheme="minorHAnsi" w:hAnsiTheme="minorHAnsi" w:cstheme="minorHAnsi"/>
          <w:i/>
          <w:sz w:val="18"/>
          <w:szCs w:val="18"/>
        </w:rPr>
        <w:t xml:space="preserve"> for</w:t>
      </w:r>
      <w:r w:rsidRPr="007B52CF">
        <w:rPr>
          <w:rFonts w:asciiTheme="minorHAnsi" w:hAnsiTheme="minorHAnsi" w:cstheme="minorHAnsi"/>
          <w:i/>
          <w:sz w:val="18"/>
          <w:szCs w:val="18"/>
        </w:rPr>
        <w:t xml:space="preserve"> </w:t>
      </w:r>
      <w:r w:rsidRPr="007B52CF">
        <w:rPr>
          <w:rFonts w:asciiTheme="minorHAnsi" w:hAnsiTheme="minorHAnsi" w:cstheme="minorHAnsi"/>
          <w:i/>
          <w:sz w:val="18"/>
          <w:szCs w:val="18"/>
        </w:rPr>
        <w:t>Nea Mesimvria Interconnection Point.</w:t>
      </w:r>
    </w:p>
  </w:footnote>
  <w:footnote w:id="11">
    <w:p w14:paraId="2AC27D41" w14:textId="77777777" w:rsidR="00413C78" w:rsidRPr="00C17C32" w:rsidRDefault="00413C78" w:rsidP="001D46A8">
      <w:pPr>
        <w:pStyle w:val="FootnoteText"/>
        <w:rPr>
          <w:lang w:val="en-US"/>
        </w:rPr>
      </w:pPr>
      <w:r>
        <w:rPr>
          <w:rStyle w:val="FootnoteReference"/>
        </w:rPr>
        <w:footnoteRef/>
      </w:r>
      <w:r w:rsidRPr="00226436">
        <w:rPr>
          <w:lang w:val="en-US"/>
        </w:rPr>
        <w:t xml:space="preserve"> </w:t>
      </w:r>
      <w:hyperlink r:id="rId3" w:history="1">
        <w:r w:rsidRPr="00376C5C">
          <w:rPr>
            <w:rStyle w:val="Hyperlink"/>
            <w:rFonts w:asciiTheme="minorHAnsi" w:hAnsiTheme="minorHAnsi" w:cstheme="minorHAnsi"/>
            <w:lang w:val="en-US"/>
          </w:rPr>
          <w:t>https://www.desfa.gr/regulatory-framework/compliance/prostasia-prosopikwn-dedomenwn</w:t>
        </w:r>
      </w:hyperlink>
    </w:p>
    <w:p w14:paraId="024BDEAA" w14:textId="77777777" w:rsidR="00413C78" w:rsidRPr="00226436" w:rsidRDefault="00413C78" w:rsidP="001D46A8">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65C5A" w14:textId="0AB562D3" w:rsidR="00C514E1" w:rsidRPr="00BE4693" w:rsidRDefault="00C514E1" w:rsidP="00C514E1">
    <w:pPr>
      <w:pStyle w:val="Header"/>
      <w:ind w:left="-107"/>
      <w:rPr>
        <w:i/>
      </w:rPr>
    </w:pPr>
    <w:r>
      <w:rPr>
        <w:i/>
        <w:noProof/>
      </w:rPr>
      <w:drawing>
        <wp:anchor distT="0" distB="0" distL="114300" distR="114300" simplePos="0" relativeHeight="251662336" behindDoc="1" locked="0" layoutInCell="1" allowOverlap="1" wp14:anchorId="51A89B7E" wp14:editId="1E8AC203">
          <wp:simplePos x="0" y="0"/>
          <wp:positionH relativeFrom="column">
            <wp:posOffset>-151296</wp:posOffset>
          </wp:positionH>
          <wp:positionV relativeFrom="paragraph">
            <wp:posOffset>174487</wp:posOffset>
          </wp:positionV>
          <wp:extent cx="1310005" cy="387350"/>
          <wp:effectExtent l="0" t="0" r="4445" b="0"/>
          <wp:wrapNone/>
          <wp:docPr id="18" name="Picture 1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31291" b="31466"/>
                  <a:stretch/>
                </pic:blipFill>
                <pic:spPr bwMode="auto">
                  <a:xfrm>
                    <a:off x="0" y="0"/>
                    <a:ext cx="1310005" cy="387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31A251" w14:textId="010DD51D" w:rsidR="00C514E1" w:rsidRPr="00BE4693" w:rsidRDefault="00C514E1" w:rsidP="00C514E1">
    <w:pPr>
      <w:pStyle w:val="Header"/>
      <w:ind w:right="-10"/>
      <w:jc w:val="right"/>
      <w:rPr>
        <w:i/>
        <w:color w:val="0070C0"/>
        <w:lang w:val="en-US"/>
      </w:rPr>
    </w:pPr>
    <w:r w:rsidRPr="00BE4693">
      <w:rPr>
        <w:i/>
        <w:color w:val="0070C0"/>
        <w:lang w:val="en-US"/>
      </w:rPr>
      <w:t xml:space="preserve">Binding Phase Notice of DESFA for the offer </w:t>
    </w:r>
  </w:p>
  <w:p w14:paraId="722CCB0C" w14:textId="54DFF08E" w:rsidR="00C514E1" w:rsidRPr="00BE4693" w:rsidRDefault="00C514E1" w:rsidP="00C514E1">
    <w:pPr>
      <w:pStyle w:val="Header"/>
      <w:spacing w:after="120"/>
      <w:ind w:right="-11"/>
      <w:jc w:val="right"/>
      <w:rPr>
        <w:i/>
        <w:color w:val="0070C0"/>
        <w:lang w:val="en-US"/>
      </w:rPr>
    </w:pPr>
    <w:r w:rsidRPr="00BE4693">
      <w:rPr>
        <w:i/>
        <w:color w:val="0070C0"/>
        <w:lang w:val="en-US"/>
      </w:rPr>
      <w:t>of Incremental Capacity</w:t>
    </w:r>
    <w:r>
      <w:rPr>
        <w:i/>
        <w:color w:val="0070C0"/>
        <w:lang w:val="en-US"/>
      </w:rPr>
      <w:t xml:space="preserve"> at </w:t>
    </w:r>
    <w:proofErr w:type="spellStart"/>
    <w:r w:rsidRPr="00BE4693">
      <w:rPr>
        <w:i/>
        <w:color w:val="0070C0"/>
        <w:lang w:val="en-US"/>
      </w:rPr>
      <w:t>Nea</w:t>
    </w:r>
    <w:proofErr w:type="spellEnd"/>
    <w:r w:rsidRPr="00BE4693">
      <w:rPr>
        <w:i/>
        <w:color w:val="0070C0"/>
        <w:lang w:val="en-US"/>
      </w:rPr>
      <w:t xml:space="preserve"> </w:t>
    </w:r>
    <w:r>
      <w:rPr>
        <w:i/>
        <w:color w:val="0070C0"/>
        <w:lang w:val="en-US"/>
      </w:rPr>
      <w:t>Mesimvria</w:t>
    </w:r>
    <w:r w:rsidRPr="00BE4693">
      <w:rPr>
        <w:i/>
        <w:color w:val="0070C0"/>
        <w:lang w:val="en-US"/>
      </w:rPr>
      <w:t xml:space="preserve"> Interconnection Point</w:t>
    </w:r>
    <w:r>
      <w:rPr>
        <w:i/>
        <w:color w:val="0070C0"/>
        <w:lang w:val="en-US"/>
      </w:rPr>
      <w:br/>
    </w:r>
    <w:r w:rsidR="00000000">
      <w:rPr>
        <w:i/>
        <w:color w:val="0070C0"/>
        <w:lang w:val="en-US"/>
      </w:rPr>
      <w:pict w14:anchorId="6142A5CF">
        <v:rect id="_x0000_i1025" style="width:0;height:1.5pt" o:hralign="center" o:hrstd="t" o:hr="t" fillcolor="#a0a0a0" stroked="f"/>
      </w:pict>
    </w:r>
  </w:p>
  <w:p w14:paraId="6FB723BA" w14:textId="2BD82C1C" w:rsidR="00C514E1" w:rsidRPr="00C514E1" w:rsidRDefault="00C514E1">
    <w:pPr>
      <w:pStyle w:val="Header"/>
      <w:rPr>
        <w:i/>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F92F8" w14:textId="65E1F359" w:rsidR="00131333" w:rsidRPr="00BE4693" w:rsidRDefault="00C514E1" w:rsidP="00131333">
    <w:pPr>
      <w:pStyle w:val="Header"/>
      <w:ind w:left="-107"/>
      <w:rPr>
        <w:i/>
      </w:rPr>
    </w:pPr>
    <w:r>
      <w:rPr>
        <w:i/>
        <w:noProof/>
      </w:rPr>
      <w:drawing>
        <wp:anchor distT="0" distB="0" distL="114300" distR="114300" simplePos="0" relativeHeight="251664384" behindDoc="1" locked="0" layoutInCell="1" allowOverlap="1" wp14:anchorId="28417E11" wp14:editId="73A5A120">
          <wp:simplePos x="0" y="0"/>
          <wp:positionH relativeFrom="column">
            <wp:posOffset>-113365</wp:posOffset>
          </wp:positionH>
          <wp:positionV relativeFrom="paragraph">
            <wp:posOffset>150528</wp:posOffset>
          </wp:positionV>
          <wp:extent cx="1310045" cy="387942"/>
          <wp:effectExtent l="0" t="0" r="4445" b="0"/>
          <wp:wrapNone/>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31291" b="31466"/>
                  <a:stretch/>
                </pic:blipFill>
                <pic:spPr bwMode="auto">
                  <a:xfrm>
                    <a:off x="0" y="0"/>
                    <a:ext cx="1310045" cy="3879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A600E4" w14:textId="77777777" w:rsidR="00131333" w:rsidRPr="00BE4693" w:rsidRDefault="00131333" w:rsidP="00C514E1">
    <w:pPr>
      <w:pStyle w:val="Header"/>
      <w:ind w:right="-10"/>
      <w:jc w:val="right"/>
      <w:rPr>
        <w:i/>
        <w:color w:val="0070C0"/>
        <w:lang w:val="en-US"/>
      </w:rPr>
    </w:pPr>
    <w:r w:rsidRPr="00BE4693">
      <w:rPr>
        <w:i/>
        <w:color w:val="0070C0"/>
        <w:lang w:val="en-US"/>
      </w:rPr>
      <w:t xml:space="preserve">Binding Phase Notice of DESFA for the offer </w:t>
    </w:r>
  </w:p>
  <w:p w14:paraId="1267BEB1" w14:textId="77777777" w:rsidR="00C514E1" w:rsidRDefault="00131333" w:rsidP="00C514E1">
    <w:pPr>
      <w:pStyle w:val="Header"/>
      <w:ind w:right="-10"/>
      <w:jc w:val="right"/>
      <w:rPr>
        <w:i/>
        <w:color w:val="0070C0"/>
        <w:lang w:val="en-US"/>
      </w:rPr>
    </w:pPr>
    <w:r w:rsidRPr="00BE4693">
      <w:rPr>
        <w:i/>
        <w:color w:val="0070C0"/>
        <w:lang w:val="en-US"/>
      </w:rPr>
      <w:t>of Incremental Capacity</w:t>
    </w:r>
    <w:r>
      <w:rPr>
        <w:i/>
        <w:color w:val="0070C0"/>
        <w:lang w:val="en-US"/>
      </w:rPr>
      <w:t xml:space="preserve"> at </w:t>
    </w:r>
    <w:proofErr w:type="spellStart"/>
    <w:r w:rsidRPr="00BE4693">
      <w:rPr>
        <w:i/>
        <w:color w:val="0070C0"/>
        <w:lang w:val="en-US"/>
      </w:rPr>
      <w:t>Nea</w:t>
    </w:r>
    <w:proofErr w:type="spellEnd"/>
    <w:r w:rsidRPr="00BE4693">
      <w:rPr>
        <w:i/>
        <w:color w:val="0070C0"/>
        <w:lang w:val="en-US"/>
      </w:rPr>
      <w:t xml:space="preserve"> </w:t>
    </w:r>
    <w:r>
      <w:rPr>
        <w:i/>
        <w:color w:val="0070C0"/>
        <w:lang w:val="en-US"/>
      </w:rPr>
      <w:t>Mesimvria</w:t>
    </w:r>
    <w:r w:rsidRPr="00BE4693">
      <w:rPr>
        <w:i/>
        <w:color w:val="0070C0"/>
        <w:lang w:val="en-US"/>
      </w:rPr>
      <w:t xml:space="preserve"> Interconnection Point</w:t>
    </w:r>
  </w:p>
  <w:p w14:paraId="2A7D3200" w14:textId="19F8A4B4" w:rsidR="00131333" w:rsidRPr="00BE4693" w:rsidRDefault="00000000" w:rsidP="00C514E1">
    <w:pPr>
      <w:pStyle w:val="Header"/>
      <w:ind w:right="-10"/>
      <w:jc w:val="right"/>
      <w:rPr>
        <w:i/>
        <w:color w:val="0070C0"/>
        <w:lang w:val="en-US"/>
      </w:rPr>
    </w:pPr>
    <w:r>
      <w:rPr>
        <w:i/>
        <w:color w:val="0070C0"/>
        <w:lang w:val="en-US"/>
      </w:rPr>
      <w:pict w14:anchorId="53846A8E">
        <v:rect id="_x0000_i1026" style="width:0;height:1.5pt" o:hralign="center" o:hrstd="t" o:hr="t" fillcolor="#a0a0a0" stroked="f"/>
      </w:pict>
    </w:r>
  </w:p>
  <w:p w14:paraId="42E77CE7" w14:textId="433251E2" w:rsidR="00131333" w:rsidRPr="00131333" w:rsidRDefault="00131333" w:rsidP="00C514E1">
    <w:pPr>
      <w:pStyle w:val="Header"/>
      <w:rPr>
        <w:i/>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8" w:type="dxa"/>
      <w:tblInd w:w="-147" w:type="dxa"/>
      <w:tblBorders>
        <w:bottom w:val="single" w:sz="4" w:space="0" w:color="1F3864"/>
      </w:tblBorders>
      <w:tblLayout w:type="fixed"/>
      <w:tblLook w:val="06A0" w:firstRow="1" w:lastRow="0" w:firstColumn="1" w:lastColumn="0" w:noHBand="1" w:noVBand="1"/>
    </w:tblPr>
    <w:tblGrid>
      <w:gridCol w:w="3135"/>
      <w:gridCol w:w="6783"/>
    </w:tblGrid>
    <w:tr w:rsidR="00413C78" w:rsidRPr="00BE4693" w14:paraId="7FBF2DC6" w14:textId="77777777" w:rsidTr="00192F18">
      <w:tc>
        <w:tcPr>
          <w:tcW w:w="3135" w:type="dxa"/>
        </w:tcPr>
        <w:p w14:paraId="0100F886" w14:textId="5E8D0B41" w:rsidR="00413C78" w:rsidRPr="00BE4693" w:rsidRDefault="00413C78" w:rsidP="00703447">
          <w:pPr>
            <w:pStyle w:val="Header"/>
            <w:ind w:left="-107"/>
            <w:rPr>
              <w:i/>
            </w:rPr>
          </w:pPr>
        </w:p>
      </w:tc>
      <w:tc>
        <w:tcPr>
          <w:tcW w:w="6783" w:type="dxa"/>
          <w:vAlign w:val="bottom"/>
        </w:tcPr>
        <w:p w14:paraId="1D4AD691" w14:textId="77777777" w:rsidR="00413C78" w:rsidRPr="00BE4693" w:rsidRDefault="00413C78" w:rsidP="00EE32C5">
          <w:pPr>
            <w:pStyle w:val="Header"/>
            <w:ind w:right="-115"/>
            <w:jc w:val="right"/>
            <w:rPr>
              <w:i/>
              <w:color w:val="0070C0"/>
              <w:lang w:val="en-US"/>
            </w:rPr>
          </w:pPr>
          <w:r w:rsidRPr="00BE4693">
            <w:rPr>
              <w:i/>
              <w:color w:val="0070C0"/>
              <w:lang w:val="en-US"/>
            </w:rPr>
            <w:t xml:space="preserve">Binding Phase Notice of DESFA for the offer </w:t>
          </w:r>
        </w:p>
        <w:p w14:paraId="5B1640C2" w14:textId="77777777" w:rsidR="00413C78" w:rsidRPr="00BE4693" w:rsidRDefault="00413C78" w:rsidP="00EE32C5">
          <w:pPr>
            <w:pStyle w:val="Header"/>
            <w:ind w:right="-115"/>
            <w:jc w:val="right"/>
            <w:rPr>
              <w:i/>
              <w:color w:val="0070C0"/>
              <w:lang w:val="en-US"/>
            </w:rPr>
          </w:pPr>
          <w:r w:rsidRPr="00BE4693">
            <w:rPr>
              <w:i/>
              <w:color w:val="0070C0"/>
              <w:lang w:val="en-US"/>
            </w:rPr>
            <w:t>of Incremental Capacity</w:t>
          </w:r>
          <w:r>
            <w:rPr>
              <w:i/>
              <w:color w:val="0070C0"/>
              <w:lang w:val="en-US"/>
            </w:rPr>
            <w:t xml:space="preserve"> at </w:t>
          </w:r>
          <w:proofErr w:type="spellStart"/>
          <w:r w:rsidRPr="00BE4693">
            <w:rPr>
              <w:i/>
              <w:color w:val="0070C0"/>
              <w:lang w:val="en-US"/>
            </w:rPr>
            <w:t>Nea</w:t>
          </w:r>
          <w:proofErr w:type="spellEnd"/>
          <w:r w:rsidRPr="00BE4693">
            <w:rPr>
              <w:i/>
              <w:color w:val="0070C0"/>
              <w:lang w:val="en-US"/>
            </w:rPr>
            <w:t xml:space="preserve"> </w:t>
          </w:r>
          <w:r>
            <w:rPr>
              <w:i/>
              <w:color w:val="0070C0"/>
              <w:lang w:val="en-US"/>
            </w:rPr>
            <w:t>Mesimvria</w:t>
          </w:r>
          <w:r w:rsidRPr="00BE4693">
            <w:rPr>
              <w:i/>
              <w:color w:val="0070C0"/>
              <w:lang w:val="en-US"/>
            </w:rPr>
            <w:t xml:space="preserve"> Interconnection Point</w:t>
          </w:r>
        </w:p>
      </w:tc>
    </w:tr>
  </w:tbl>
  <w:p w14:paraId="644BFE9D" w14:textId="63F5B6BF" w:rsidR="00413C78" w:rsidRPr="00BE4693" w:rsidRDefault="00131333">
    <w:pPr>
      <w:pStyle w:val="Header"/>
      <w:rPr>
        <w:i/>
        <w:lang w:val="en-US"/>
      </w:rPr>
    </w:pPr>
    <w:r>
      <w:rPr>
        <w:i/>
        <w:noProof/>
      </w:rPr>
      <w:drawing>
        <wp:anchor distT="0" distB="0" distL="114300" distR="114300" simplePos="0" relativeHeight="251658240" behindDoc="1" locked="0" layoutInCell="1" allowOverlap="1" wp14:anchorId="76B96F06" wp14:editId="349AEEEE">
          <wp:simplePos x="0" y="0"/>
          <wp:positionH relativeFrom="column">
            <wp:posOffset>-206284</wp:posOffset>
          </wp:positionH>
          <wp:positionV relativeFrom="paragraph">
            <wp:posOffset>-394335</wp:posOffset>
          </wp:positionV>
          <wp:extent cx="1310045" cy="387942"/>
          <wp:effectExtent l="0" t="0" r="4445" b="0"/>
          <wp:wrapNone/>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31291" b="31466"/>
                  <a:stretch/>
                </pic:blipFill>
                <pic:spPr bwMode="auto">
                  <a:xfrm>
                    <a:off x="0" y="0"/>
                    <a:ext cx="1310045" cy="3879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042487" w14:textId="77777777" w:rsidR="00032FD5" w:rsidRDefault="00032F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AE2"/>
    <w:multiLevelType w:val="multilevel"/>
    <w:tmpl w:val="E334C550"/>
    <w:styleLink w:val="Style7"/>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594362"/>
    <w:multiLevelType w:val="hybridMultilevel"/>
    <w:tmpl w:val="99666D36"/>
    <w:lvl w:ilvl="0" w:tplc="C9C2A324">
      <w:start w:val="1"/>
      <w:numFmt w:val="bullet"/>
      <w:pStyle w:val="head5"/>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pStyle w:val="head5"/>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2" w15:restartNumberingAfterBreak="0">
    <w:nsid w:val="05194653"/>
    <w:multiLevelType w:val="multilevel"/>
    <w:tmpl w:val="01CE89E6"/>
    <w:styleLink w:val="Entsogtest3"/>
    <w:lvl w:ilvl="0">
      <w:start w:val="1"/>
      <w:numFmt w:val="decimal"/>
      <w:lvlText w:val="%1"/>
      <w:lvlJc w:val="left"/>
      <w:pPr>
        <w:ind w:left="284" w:hanging="284"/>
      </w:pPr>
      <w:rPr>
        <w:rFonts w:ascii="Calibri" w:hAnsi="Calibri" w:hint="default"/>
        <w:sz w:val="24"/>
      </w:rPr>
    </w:lvl>
    <w:lvl w:ilvl="1">
      <w:start w:val="1"/>
      <w:numFmt w:val="decimal"/>
      <w:lvlText w:val="%1.%2"/>
      <w:lvlJc w:val="left"/>
      <w:pPr>
        <w:ind w:left="568" w:hanging="284"/>
      </w:pPr>
      <w:rPr>
        <w:rFonts w:ascii="Calibri" w:hAnsi="Calibri" w:hint="default"/>
        <w:sz w:val="24"/>
      </w:rPr>
    </w:lvl>
    <w:lvl w:ilvl="2">
      <w:start w:val="1"/>
      <w:numFmt w:val="decimal"/>
      <w:lvlText w:val="%1.%2.%3"/>
      <w:lvlJc w:val="left"/>
      <w:pPr>
        <w:ind w:left="852" w:hanging="284"/>
      </w:pPr>
      <w:rPr>
        <w:rFonts w:ascii="Calibri" w:hAnsi="Calibri" w:hint="default"/>
        <w:sz w:val="24"/>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64C38B1"/>
    <w:multiLevelType w:val="multilevel"/>
    <w:tmpl w:val="01B4BDDC"/>
    <w:lvl w:ilvl="0">
      <w:start w:val="5"/>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501957"/>
    <w:multiLevelType w:val="multilevel"/>
    <w:tmpl w:val="59128254"/>
    <w:lvl w:ilvl="0">
      <w:start w:val="1"/>
      <w:numFmt w:val="decimal"/>
      <w:lvlText w:val="%1."/>
      <w:lvlJc w:val="left"/>
      <w:pPr>
        <w:ind w:left="360" w:hanging="360"/>
      </w:pPr>
      <w:rPr>
        <w:rFonts w:hint="default"/>
      </w:rPr>
    </w:lvl>
    <w:lvl w:ilvl="1">
      <w:start w:val="1"/>
      <w:numFmt w:val="lowerRoman"/>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2336C7"/>
    <w:multiLevelType w:val="multilevel"/>
    <w:tmpl w:val="BD10A062"/>
    <w:lvl w:ilvl="0">
      <w:start w:val="1"/>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l-GR" w:eastAsia="el-GR" w:bidi="el-G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5F0FEC"/>
    <w:multiLevelType w:val="multilevel"/>
    <w:tmpl w:val="93769E6C"/>
    <w:lvl w:ilvl="0">
      <w:start w:val="4"/>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2F32AC"/>
    <w:multiLevelType w:val="multilevel"/>
    <w:tmpl w:val="5B30C714"/>
    <w:lvl w:ilvl="0">
      <w:start w:val="9"/>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l-GR" w:eastAsia="el-GR" w:bidi="el-G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F27CB1"/>
    <w:multiLevelType w:val="multilevel"/>
    <w:tmpl w:val="DFFC4E00"/>
    <w:lvl w:ilvl="0">
      <w:start w:val="12"/>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5D0BB8"/>
    <w:multiLevelType w:val="multilevel"/>
    <w:tmpl w:val="89B675E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97235C"/>
    <w:multiLevelType w:val="multilevel"/>
    <w:tmpl w:val="8FD426B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AB7525"/>
    <w:multiLevelType w:val="hybridMultilevel"/>
    <w:tmpl w:val="37DA2A68"/>
    <w:lvl w:ilvl="0" w:tplc="23FCDFC8">
      <w:start w:val="1"/>
      <w:numFmt w:val="lowerLetter"/>
      <w:pStyle w:val="a-Leve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B3C78B8"/>
    <w:multiLevelType w:val="hybridMultilevel"/>
    <w:tmpl w:val="2ED4F4D0"/>
    <w:name w:val="Point"/>
    <w:lvl w:ilvl="0" w:tplc="66C03FD6">
      <w:start w:val="1"/>
      <w:numFmt w:val="decimal"/>
      <w:lvlRestart w:val="0"/>
      <w:pStyle w:val="Point0number"/>
      <w:lvlText w:val="(%1)"/>
      <w:lvlJc w:val="left"/>
      <w:pPr>
        <w:tabs>
          <w:tab w:val="num" w:pos="850"/>
        </w:tabs>
        <w:ind w:left="850" w:hanging="850"/>
      </w:pPr>
    </w:lvl>
    <w:lvl w:ilvl="1" w:tplc="5E624176">
      <w:start w:val="1"/>
      <w:numFmt w:val="lowerLetter"/>
      <w:pStyle w:val="Point0letter"/>
      <w:lvlText w:val="(%2)"/>
      <w:lvlJc w:val="left"/>
      <w:pPr>
        <w:tabs>
          <w:tab w:val="num" w:pos="850"/>
        </w:tabs>
        <w:ind w:left="850" w:hanging="850"/>
      </w:pPr>
    </w:lvl>
    <w:lvl w:ilvl="2" w:tplc="CFA2F64A">
      <w:start w:val="1"/>
      <w:numFmt w:val="decimal"/>
      <w:pStyle w:val="Point1number"/>
      <w:lvlText w:val="(%3)"/>
      <w:lvlJc w:val="left"/>
      <w:pPr>
        <w:tabs>
          <w:tab w:val="num" w:pos="1417"/>
        </w:tabs>
        <w:ind w:left="1417" w:hanging="567"/>
      </w:pPr>
    </w:lvl>
    <w:lvl w:ilvl="3" w:tplc="2A6AA634">
      <w:start w:val="1"/>
      <w:numFmt w:val="lowerLetter"/>
      <w:pStyle w:val="Point1letter"/>
      <w:lvlText w:val="(%4)"/>
      <w:lvlJc w:val="left"/>
      <w:pPr>
        <w:tabs>
          <w:tab w:val="num" w:pos="1417"/>
        </w:tabs>
        <w:ind w:left="1417" w:hanging="567"/>
      </w:pPr>
    </w:lvl>
    <w:lvl w:ilvl="4" w:tplc="84ECBB26">
      <w:start w:val="1"/>
      <w:numFmt w:val="decimal"/>
      <w:pStyle w:val="Point2number"/>
      <w:lvlText w:val="(%5)"/>
      <w:lvlJc w:val="left"/>
      <w:pPr>
        <w:tabs>
          <w:tab w:val="num" w:pos="1984"/>
        </w:tabs>
        <w:ind w:left="1984" w:hanging="567"/>
      </w:pPr>
    </w:lvl>
    <w:lvl w:ilvl="5" w:tplc="4CE2CCB6">
      <w:start w:val="1"/>
      <w:numFmt w:val="lowerLetter"/>
      <w:pStyle w:val="Point2letter"/>
      <w:lvlText w:val="(%6)"/>
      <w:lvlJc w:val="left"/>
      <w:pPr>
        <w:tabs>
          <w:tab w:val="num" w:pos="1984"/>
        </w:tabs>
        <w:ind w:left="1984" w:hanging="567"/>
      </w:pPr>
    </w:lvl>
    <w:lvl w:ilvl="6" w:tplc="EBEE91DC">
      <w:start w:val="1"/>
      <w:numFmt w:val="decimal"/>
      <w:pStyle w:val="Point3number"/>
      <w:lvlText w:val="(%7)"/>
      <w:lvlJc w:val="left"/>
      <w:pPr>
        <w:tabs>
          <w:tab w:val="num" w:pos="2551"/>
        </w:tabs>
        <w:ind w:left="2551" w:hanging="567"/>
      </w:pPr>
    </w:lvl>
    <w:lvl w:ilvl="7" w:tplc="1BFAB6C8">
      <w:start w:val="1"/>
      <w:numFmt w:val="lowerLetter"/>
      <w:pStyle w:val="Point3letter"/>
      <w:lvlText w:val="(%8)"/>
      <w:lvlJc w:val="left"/>
      <w:pPr>
        <w:tabs>
          <w:tab w:val="num" w:pos="2551"/>
        </w:tabs>
        <w:ind w:left="2551" w:hanging="567"/>
      </w:pPr>
    </w:lvl>
    <w:lvl w:ilvl="8" w:tplc="A230AE44">
      <w:start w:val="1"/>
      <w:numFmt w:val="lowerLetter"/>
      <w:pStyle w:val="Point4letter"/>
      <w:lvlText w:val="(%9)"/>
      <w:lvlJc w:val="left"/>
      <w:pPr>
        <w:tabs>
          <w:tab w:val="num" w:pos="3118"/>
        </w:tabs>
        <w:ind w:left="3118" w:hanging="567"/>
      </w:pPr>
    </w:lvl>
  </w:abstractNum>
  <w:abstractNum w:abstractNumId="13" w15:restartNumberingAfterBreak="0">
    <w:nsid w:val="1C036253"/>
    <w:multiLevelType w:val="multilevel"/>
    <w:tmpl w:val="C68A15D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553231"/>
    <w:multiLevelType w:val="multilevel"/>
    <w:tmpl w:val="9F9E21D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start w:val="3"/>
      <w:numFmt w:val="lowerLetter"/>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C78652A"/>
    <w:multiLevelType w:val="multilevel"/>
    <w:tmpl w:val="99F86068"/>
    <w:styleLink w:val="Style4"/>
    <w:lvl w:ilvl="0">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DEB64D5"/>
    <w:multiLevelType w:val="multilevel"/>
    <w:tmpl w:val="E334C55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E636866"/>
    <w:multiLevelType w:val="multilevel"/>
    <w:tmpl w:val="9C62F38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1382646"/>
    <w:multiLevelType w:val="multilevel"/>
    <w:tmpl w:val="F842B6C6"/>
    <w:styleLink w:val="Style5"/>
    <w:lvl w:ilvl="0">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1A570EA"/>
    <w:multiLevelType w:val="multilevel"/>
    <w:tmpl w:val="562E7D3A"/>
    <w:lvl w:ilvl="0">
      <w:start w:val="8"/>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2E44180"/>
    <w:multiLevelType w:val="multilevel"/>
    <w:tmpl w:val="EF2AC24A"/>
    <w:name w:val="NumPar"/>
    <w:lvl w:ilvl="0">
      <w:start w:val="1"/>
      <w:numFmt w:val="upperRoman"/>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39A7238"/>
    <w:multiLevelType w:val="hybridMultilevel"/>
    <w:tmpl w:val="4EC08664"/>
    <w:styleLink w:val="List0"/>
    <w:lvl w:ilvl="0" w:tplc="18945072">
      <w:start w:val="1"/>
      <w:numFmt w:val="upperRoman"/>
      <w:lvlText w:val="%1."/>
      <w:lvlJc w:val="left"/>
      <w:pPr>
        <w:tabs>
          <w:tab w:val="num" w:pos="360"/>
        </w:tabs>
        <w:ind w:left="360" w:hanging="360"/>
      </w:pPr>
      <w:rPr>
        <w:rFonts w:ascii="Trebuchet MS" w:eastAsia="Trebuchet MS" w:hAnsi="Trebuchet MS" w:cs="Trebuchet MS"/>
        <w:position w:val="0"/>
        <w:sz w:val="28"/>
        <w:szCs w:val="28"/>
        <w:lang w:val="en-US"/>
      </w:rPr>
    </w:lvl>
    <w:lvl w:ilvl="1" w:tplc="83721D4A">
      <w:start w:val="1"/>
      <w:numFmt w:val="lowerLetter"/>
      <w:lvlText w:val="%2."/>
      <w:lvlJc w:val="left"/>
      <w:pPr>
        <w:tabs>
          <w:tab w:val="num" w:pos="1500"/>
        </w:tabs>
        <w:ind w:left="1500" w:hanging="420"/>
      </w:pPr>
      <w:rPr>
        <w:rFonts w:ascii="Calibri" w:eastAsia="Calibri" w:hAnsi="Calibri" w:cs="Calibri"/>
        <w:position w:val="0"/>
        <w:sz w:val="28"/>
        <w:szCs w:val="28"/>
        <w:lang w:val="en-US"/>
      </w:rPr>
    </w:lvl>
    <w:lvl w:ilvl="2" w:tplc="F11C48E2">
      <w:start w:val="1"/>
      <w:numFmt w:val="lowerRoman"/>
      <w:lvlText w:val="%3."/>
      <w:lvlJc w:val="left"/>
      <w:pPr>
        <w:tabs>
          <w:tab w:val="num" w:pos="2209"/>
        </w:tabs>
        <w:ind w:left="2209" w:hanging="345"/>
      </w:pPr>
      <w:rPr>
        <w:rFonts w:ascii="Calibri" w:eastAsia="Calibri" w:hAnsi="Calibri" w:cs="Calibri"/>
        <w:position w:val="0"/>
        <w:sz w:val="28"/>
        <w:szCs w:val="28"/>
        <w:lang w:val="en-US"/>
      </w:rPr>
    </w:lvl>
    <w:lvl w:ilvl="3" w:tplc="5ED20C96">
      <w:start w:val="1"/>
      <w:numFmt w:val="decimal"/>
      <w:lvlText w:val="%4."/>
      <w:lvlJc w:val="left"/>
      <w:pPr>
        <w:tabs>
          <w:tab w:val="num" w:pos="2940"/>
        </w:tabs>
        <w:ind w:left="2940" w:hanging="420"/>
      </w:pPr>
      <w:rPr>
        <w:rFonts w:ascii="Calibri" w:eastAsia="Calibri" w:hAnsi="Calibri" w:cs="Calibri"/>
        <w:position w:val="0"/>
        <w:sz w:val="28"/>
        <w:szCs w:val="28"/>
        <w:lang w:val="en-US"/>
      </w:rPr>
    </w:lvl>
    <w:lvl w:ilvl="4" w:tplc="3026730A">
      <w:start w:val="1"/>
      <w:numFmt w:val="lowerLetter"/>
      <w:lvlText w:val="%5."/>
      <w:lvlJc w:val="left"/>
      <w:pPr>
        <w:tabs>
          <w:tab w:val="num" w:pos="3660"/>
        </w:tabs>
        <w:ind w:left="3660" w:hanging="420"/>
      </w:pPr>
      <w:rPr>
        <w:rFonts w:ascii="Calibri" w:eastAsia="Calibri" w:hAnsi="Calibri" w:cs="Calibri"/>
        <w:position w:val="0"/>
        <w:sz w:val="28"/>
        <w:szCs w:val="28"/>
        <w:lang w:val="en-US"/>
      </w:rPr>
    </w:lvl>
    <w:lvl w:ilvl="5" w:tplc="B61851C2">
      <w:start w:val="1"/>
      <w:numFmt w:val="lowerRoman"/>
      <w:lvlText w:val="%6."/>
      <w:lvlJc w:val="left"/>
      <w:pPr>
        <w:tabs>
          <w:tab w:val="num" w:pos="4369"/>
        </w:tabs>
        <w:ind w:left="4369" w:hanging="345"/>
      </w:pPr>
      <w:rPr>
        <w:rFonts w:ascii="Calibri" w:eastAsia="Calibri" w:hAnsi="Calibri" w:cs="Calibri"/>
        <w:position w:val="0"/>
        <w:sz w:val="28"/>
        <w:szCs w:val="28"/>
        <w:lang w:val="en-US"/>
      </w:rPr>
    </w:lvl>
    <w:lvl w:ilvl="6" w:tplc="E26AC20A">
      <w:start w:val="1"/>
      <w:numFmt w:val="decimal"/>
      <w:lvlText w:val="%7."/>
      <w:lvlJc w:val="left"/>
      <w:pPr>
        <w:tabs>
          <w:tab w:val="num" w:pos="5100"/>
        </w:tabs>
        <w:ind w:left="5100" w:hanging="420"/>
      </w:pPr>
      <w:rPr>
        <w:rFonts w:ascii="Calibri" w:eastAsia="Calibri" w:hAnsi="Calibri" w:cs="Calibri"/>
        <w:position w:val="0"/>
        <w:sz w:val="28"/>
        <w:szCs w:val="28"/>
        <w:lang w:val="en-US"/>
      </w:rPr>
    </w:lvl>
    <w:lvl w:ilvl="7" w:tplc="87E4B552">
      <w:start w:val="1"/>
      <w:numFmt w:val="lowerLetter"/>
      <w:lvlText w:val="%8."/>
      <w:lvlJc w:val="left"/>
      <w:pPr>
        <w:tabs>
          <w:tab w:val="num" w:pos="5820"/>
        </w:tabs>
        <w:ind w:left="5820" w:hanging="420"/>
      </w:pPr>
      <w:rPr>
        <w:rFonts w:ascii="Calibri" w:eastAsia="Calibri" w:hAnsi="Calibri" w:cs="Calibri"/>
        <w:position w:val="0"/>
        <w:sz w:val="28"/>
        <w:szCs w:val="28"/>
        <w:lang w:val="en-US"/>
      </w:rPr>
    </w:lvl>
    <w:lvl w:ilvl="8" w:tplc="809EA132">
      <w:start w:val="1"/>
      <w:numFmt w:val="lowerRoman"/>
      <w:lvlText w:val="%9."/>
      <w:lvlJc w:val="left"/>
      <w:pPr>
        <w:tabs>
          <w:tab w:val="num" w:pos="6529"/>
        </w:tabs>
        <w:ind w:left="6529" w:hanging="345"/>
      </w:pPr>
      <w:rPr>
        <w:rFonts w:ascii="Calibri" w:eastAsia="Calibri" w:hAnsi="Calibri" w:cs="Calibri"/>
        <w:position w:val="0"/>
        <w:sz w:val="28"/>
        <w:szCs w:val="28"/>
        <w:lang w:val="en-US"/>
      </w:rPr>
    </w:lvl>
  </w:abstractNum>
  <w:abstractNum w:abstractNumId="22" w15:restartNumberingAfterBreak="0">
    <w:nsid w:val="254D393F"/>
    <w:multiLevelType w:val="multilevel"/>
    <w:tmpl w:val="168A2C40"/>
    <w:lvl w:ilvl="0">
      <w:start w:val="2"/>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5747B1F"/>
    <w:multiLevelType w:val="singleLevel"/>
    <w:tmpl w:val="83E2FAD4"/>
    <w:lvl w:ilvl="0">
      <w:start w:val="1"/>
      <w:numFmt w:val="bullet"/>
      <w:pStyle w:val="ListBullet9"/>
      <w:lvlText w:val=""/>
      <w:lvlJc w:val="left"/>
      <w:pPr>
        <w:tabs>
          <w:tab w:val="num" w:pos="644"/>
        </w:tabs>
        <w:ind w:left="641" w:hanging="357"/>
      </w:pPr>
      <w:rPr>
        <w:rFonts w:ascii="Symbol" w:hAnsi="Symbol" w:hint="default"/>
      </w:rPr>
    </w:lvl>
  </w:abstractNum>
  <w:abstractNum w:abstractNumId="24" w15:restartNumberingAfterBreak="0">
    <w:nsid w:val="27F4709B"/>
    <w:multiLevelType w:val="hybridMultilevel"/>
    <w:tmpl w:val="A44A55FA"/>
    <w:lvl w:ilvl="0" w:tplc="04080019">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2A8027B5"/>
    <w:multiLevelType w:val="multilevel"/>
    <w:tmpl w:val="6E96ED5E"/>
    <w:lvl w:ilvl="0">
      <w:start w:val="3"/>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AAF29BD"/>
    <w:multiLevelType w:val="multilevel"/>
    <w:tmpl w:val="F78A100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BC13C4C"/>
    <w:multiLevelType w:val="multilevel"/>
    <w:tmpl w:val="E3E42C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D461B8A"/>
    <w:multiLevelType w:val="hybridMultilevel"/>
    <w:tmpl w:val="82E0602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2DE26764"/>
    <w:multiLevelType w:val="multilevel"/>
    <w:tmpl w:val="74E4D00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12A5E4E"/>
    <w:multiLevelType w:val="hybridMultilevel"/>
    <w:tmpl w:val="6952D4CA"/>
    <w:lvl w:ilvl="0" w:tplc="F6F808D0">
      <w:start w:val="1"/>
      <w:numFmt w:val="lowerRoman"/>
      <w:lvlText w:val="%1"/>
      <w:lvlJc w:val="left"/>
      <w:pPr>
        <w:ind w:left="720" w:hanging="360"/>
      </w:pPr>
      <w:rPr>
        <w:rFonts w:ascii="Arial" w:eastAsia="Arial" w:hAnsi="Arial" w:cs="Arial"/>
        <w:b w:val="0"/>
        <w:bCs/>
        <w:i/>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EA2391"/>
    <w:multiLevelType w:val="multilevel"/>
    <w:tmpl w:val="B21457C6"/>
    <w:styleLink w:val="Style3"/>
    <w:lvl w:ilvl="0">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67D0DF8"/>
    <w:multiLevelType w:val="hybridMultilevel"/>
    <w:tmpl w:val="70F85ABA"/>
    <w:lvl w:ilvl="0" w:tplc="DC38E6B0">
      <w:start w:val="1"/>
      <w:numFmt w:val="upperLetter"/>
      <w:pStyle w:val="Headlinereport"/>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4754E4"/>
    <w:multiLevelType w:val="hybridMultilevel"/>
    <w:tmpl w:val="F142F154"/>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37B60A1E"/>
    <w:multiLevelType w:val="hybridMultilevel"/>
    <w:tmpl w:val="C096DA90"/>
    <w:styleLink w:val="EBullets"/>
    <w:lvl w:ilvl="0" w:tplc="8DB2571A">
      <w:start w:val="1"/>
      <w:numFmt w:val="bullet"/>
      <w:lvlText w:val="&gt;"/>
      <w:lvlJc w:val="left"/>
      <w:pPr>
        <w:tabs>
          <w:tab w:val="num" w:pos="360"/>
        </w:tabs>
        <w:ind w:left="360" w:hanging="360"/>
      </w:pPr>
      <w:rPr>
        <w:rFonts w:ascii="Calibri" w:hAnsi="Calibri" w:hint="default"/>
        <w:color w:val="C1D537"/>
        <w:position w:val="0"/>
        <w:sz w:val="24"/>
      </w:rPr>
    </w:lvl>
    <w:lvl w:ilvl="1" w:tplc="D95E8C46">
      <w:start w:val="1"/>
      <w:numFmt w:val="bullet"/>
      <w:lvlText w:val=""/>
      <w:lvlJc w:val="left"/>
      <w:pPr>
        <w:tabs>
          <w:tab w:val="num" w:pos="648"/>
        </w:tabs>
        <w:ind w:left="360" w:hanging="72"/>
      </w:pPr>
      <w:rPr>
        <w:rFonts w:ascii="Wingdings" w:hAnsi="Wingdings" w:hint="default"/>
        <w:color w:val="C1D537"/>
        <w:position w:val="0"/>
        <w:sz w:val="24"/>
      </w:rPr>
    </w:lvl>
    <w:lvl w:ilvl="2" w:tplc="BB30C766">
      <w:start w:val="1"/>
      <w:numFmt w:val="bullet"/>
      <w:lvlText w:val="○"/>
      <w:lvlJc w:val="left"/>
      <w:pPr>
        <w:tabs>
          <w:tab w:val="num" w:pos="936"/>
        </w:tabs>
        <w:ind w:left="360" w:firstLine="216"/>
      </w:pPr>
      <w:rPr>
        <w:rFonts w:ascii="Calibri" w:hAnsi="Calibri" w:hint="default"/>
        <w:color w:val="C1D537"/>
        <w:position w:val="0"/>
        <w:sz w:val="24"/>
      </w:rPr>
    </w:lvl>
    <w:lvl w:ilvl="3" w:tplc="13F87526">
      <w:start w:val="1"/>
      <w:numFmt w:val="bullet"/>
      <w:lvlText w:val=""/>
      <w:lvlJc w:val="left"/>
      <w:pPr>
        <w:ind w:left="2880" w:hanging="360"/>
      </w:pPr>
      <w:rPr>
        <w:rFonts w:ascii="Symbol" w:hAnsi="Symbol" w:hint="default"/>
      </w:rPr>
    </w:lvl>
    <w:lvl w:ilvl="4" w:tplc="AC0E11FC">
      <w:start w:val="1"/>
      <w:numFmt w:val="bullet"/>
      <w:lvlText w:val="o"/>
      <w:lvlJc w:val="left"/>
      <w:pPr>
        <w:ind w:left="3600" w:hanging="360"/>
      </w:pPr>
      <w:rPr>
        <w:rFonts w:ascii="Courier New" w:hAnsi="Courier New" w:cs="Courier New" w:hint="default"/>
      </w:rPr>
    </w:lvl>
    <w:lvl w:ilvl="5" w:tplc="40C41CB4">
      <w:start w:val="1"/>
      <w:numFmt w:val="bullet"/>
      <w:lvlText w:val=""/>
      <w:lvlJc w:val="left"/>
      <w:pPr>
        <w:ind w:left="4320" w:hanging="360"/>
      </w:pPr>
      <w:rPr>
        <w:rFonts w:ascii="Wingdings" w:hAnsi="Wingdings" w:hint="default"/>
      </w:rPr>
    </w:lvl>
    <w:lvl w:ilvl="6" w:tplc="A8881CD4">
      <w:start w:val="1"/>
      <w:numFmt w:val="bullet"/>
      <w:lvlText w:val=""/>
      <w:lvlJc w:val="left"/>
      <w:pPr>
        <w:ind w:left="5040" w:hanging="360"/>
      </w:pPr>
      <w:rPr>
        <w:rFonts w:ascii="Symbol" w:hAnsi="Symbol" w:hint="default"/>
      </w:rPr>
    </w:lvl>
    <w:lvl w:ilvl="7" w:tplc="4DC6FBD0">
      <w:start w:val="1"/>
      <w:numFmt w:val="bullet"/>
      <w:lvlText w:val="o"/>
      <w:lvlJc w:val="left"/>
      <w:pPr>
        <w:ind w:left="5760" w:hanging="360"/>
      </w:pPr>
      <w:rPr>
        <w:rFonts w:ascii="Courier New" w:hAnsi="Courier New" w:cs="Courier New" w:hint="default"/>
      </w:rPr>
    </w:lvl>
    <w:lvl w:ilvl="8" w:tplc="E8EC4D12">
      <w:start w:val="1"/>
      <w:numFmt w:val="bullet"/>
      <w:lvlText w:val=""/>
      <w:lvlJc w:val="left"/>
      <w:pPr>
        <w:ind w:left="6480" w:hanging="360"/>
      </w:pPr>
      <w:rPr>
        <w:rFonts w:ascii="Wingdings" w:hAnsi="Wingdings" w:hint="default"/>
      </w:rPr>
    </w:lvl>
  </w:abstractNum>
  <w:abstractNum w:abstractNumId="35" w15:restartNumberingAfterBreak="0">
    <w:nsid w:val="3A365776"/>
    <w:multiLevelType w:val="hybridMultilevel"/>
    <w:tmpl w:val="2D0E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F141E8"/>
    <w:multiLevelType w:val="multilevel"/>
    <w:tmpl w:val="79D8D20E"/>
    <w:styleLink w:val="Entsogmultilevels"/>
    <w:lvl w:ilvl="0">
      <w:start w:val="1"/>
      <w:numFmt w:val="decimal"/>
      <w:suff w:val="space"/>
      <w:lvlText w:val="%1."/>
      <w:lvlJc w:val="left"/>
      <w:pPr>
        <w:ind w:left="2840" w:hanging="284"/>
      </w:pPr>
      <w:rPr>
        <w:rFonts w:ascii="Calibri" w:hAnsi="Calibri" w:hint="default"/>
        <w:sz w:val="24"/>
      </w:rPr>
    </w:lvl>
    <w:lvl w:ilvl="1">
      <w:start w:val="1"/>
      <w:numFmt w:val="decimal"/>
      <w:lvlText w:val="%1.%2"/>
      <w:lvlJc w:val="left"/>
      <w:pPr>
        <w:ind w:left="3124" w:hanging="284"/>
      </w:pPr>
      <w:rPr>
        <w:rFonts w:ascii="Calibri" w:hAnsi="Calibri" w:hint="default"/>
        <w:sz w:val="24"/>
      </w:rPr>
    </w:lvl>
    <w:lvl w:ilvl="2">
      <w:start w:val="1"/>
      <w:numFmt w:val="decimal"/>
      <w:lvlText w:val="%1.%2.%3"/>
      <w:lvlJc w:val="left"/>
      <w:pPr>
        <w:ind w:left="3408" w:hanging="284"/>
      </w:pPr>
      <w:rPr>
        <w:rFonts w:ascii="Calibri" w:hAnsi="Calibri" w:hint="default"/>
        <w:sz w:val="24"/>
      </w:rPr>
    </w:lvl>
    <w:lvl w:ilvl="3">
      <w:start w:val="12"/>
      <w:numFmt w:val="bullet"/>
      <w:lvlText w:val="-"/>
      <w:lvlJc w:val="left"/>
      <w:pPr>
        <w:tabs>
          <w:tab w:val="num" w:pos="6800"/>
        </w:tabs>
        <w:ind w:left="3692" w:hanging="284"/>
      </w:pPr>
      <w:rPr>
        <w:rFonts w:ascii="Arial" w:eastAsia="Times New Roman" w:hAnsi="Arial" w:cs="Arial" w:hint="default"/>
      </w:rPr>
    </w:lvl>
    <w:lvl w:ilvl="4">
      <w:start w:val="1"/>
      <w:numFmt w:val="lowerLetter"/>
      <w:lvlText w:val="%5."/>
      <w:lvlJc w:val="left"/>
      <w:pPr>
        <w:tabs>
          <w:tab w:val="num" w:pos="7520"/>
        </w:tabs>
        <w:ind w:left="3976" w:hanging="284"/>
      </w:pPr>
      <w:rPr>
        <w:rFonts w:hint="default"/>
      </w:rPr>
    </w:lvl>
    <w:lvl w:ilvl="5">
      <w:start w:val="1"/>
      <w:numFmt w:val="lowerRoman"/>
      <w:lvlText w:val="%6."/>
      <w:lvlJc w:val="right"/>
      <w:pPr>
        <w:tabs>
          <w:tab w:val="num" w:pos="8240"/>
        </w:tabs>
        <w:ind w:left="4260" w:hanging="284"/>
      </w:pPr>
      <w:rPr>
        <w:rFonts w:hint="default"/>
      </w:rPr>
    </w:lvl>
    <w:lvl w:ilvl="6">
      <w:start w:val="1"/>
      <w:numFmt w:val="decimal"/>
      <w:lvlText w:val="%7."/>
      <w:lvlJc w:val="left"/>
      <w:pPr>
        <w:tabs>
          <w:tab w:val="num" w:pos="8960"/>
        </w:tabs>
        <w:ind w:left="4544" w:hanging="284"/>
      </w:pPr>
      <w:rPr>
        <w:rFonts w:hint="default"/>
      </w:rPr>
    </w:lvl>
    <w:lvl w:ilvl="7">
      <w:start w:val="1"/>
      <w:numFmt w:val="lowerLetter"/>
      <w:lvlText w:val="%8."/>
      <w:lvlJc w:val="left"/>
      <w:pPr>
        <w:tabs>
          <w:tab w:val="num" w:pos="9680"/>
        </w:tabs>
        <w:ind w:left="4828" w:hanging="284"/>
      </w:pPr>
      <w:rPr>
        <w:rFonts w:hint="default"/>
      </w:rPr>
    </w:lvl>
    <w:lvl w:ilvl="8">
      <w:start w:val="1"/>
      <w:numFmt w:val="lowerRoman"/>
      <w:lvlText w:val="%9."/>
      <w:lvlJc w:val="right"/>
      <w:pPr>
        <w:tabs>
          <w:tab w:val="num" w:pos="10400"/>
        </w:tabs>
        <w:ind w:left="5112" w:hanging="284"/>
      </w:pPr>
      <w:rPr>
        <w:rFonts w:hint="default"/>
      </w:rPr>
    </w:lvl>
  </w:abstractNum>
  <w:abstractNum w:abstractNumId="37" w15:restartNumberingAfterBreak="0">
    <w:nsid w:val="40B75B15"/>
    <w:multiLevelType w:val="multilevel"/>
    <w:tmpl w:val="D92C1C5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1AE6C92"/>
    <w:multiLevelType w:val="multilevel"/>
    <w:tmpl w:val="E5220924"/>
    <w:lvl w:ilvl="0">
      <w:start w:val="1"/>
      <w:numFmt w:val="decimal"/>
      <w:lvlText w:val="Article %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2BA0DDA"/>
    <w:multiLevelType w:val="multilevel"/>
    <w:tmpl w:val="6AD02E64"/>
    <w:lvl w:ilvl="0">
      <w:start w:val="3"/>
      <w:numFmt w:val="decimal"/>
      <w:lvlText w:val="%1."/>
      <w:lvlJc w:val="left"/>
    </w:lvl>
    <w:lvl w:ilvl="1">
      <w:start w:val="4"/>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3FC4BF8"/>
    <w:multiLevelType w:val="multilevel"/>
    <w:tmpl w:val="59128254"/>
    <w:lvl w:ilvl="0">
      <w:start w:val="1"/>
      <w:numFmt w:val="decimal"/>
      <w:lvlText w:val="%1."/>
      <w:lvlJc w:val="left"/>
      <w:pPr>
        <w:ind w:left="360" w:hanging="360"/>
      </w:pPr>
      <w:rPr>
        <w:rFonts w:hint="default"/>
      </w:rPr>
    </w:lvl>
    <w:lvl w:ilvl="1">
      <w:start w:val="1"/>
      <w:numFmt w:val="lowerRoman"/>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5772BB0"/>
    <w:multiLevelType w:val="multilevel"/>
    <w:tmpl w:val="7622806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8441E89"/>
    <w:multiLevelType w:val="hybridMultilevel"/>
    <w:tmpl w:val="4442ECDA"/>
    <w:lvl w:ilvl="0" w:tplc="24424B54">
      <w:start w:val="1"/>
      <w:numFmt w:val="bullet"/>
      <w:pStyle w:val="EBulletH2"/>
      <w:lvlText w:val="&gt;"/>
      <w:lvlJc w:val="left"/>
      <w:pPr>
        <w:ind w:left="360" w:hanging="360"/>
      </w:pPr>
      <w:rPr>
        <w:rFonts w:ascii="Calibri" w:hAnsi="Calibri" w:hint="default"/>
        <w:color w:val="C1D537"/>
        <w:position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C3255AB"/>
    <w:multiLevelType w:val="multilevel"/>
    <w:tmpl w:val="F53A6D9C"/>
    <w:lvl w:ilvl="0">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D574BFC"/>
    <w:multiLevelType w:val="multilevel"/>
    <w:tmpl w:val="99F86068"/>
    <w:lvl w:ilvl="0">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DC7120E"/>
    <w:multiLevelType w:val="hybridMultilevel"/>
    <w:tmpl w:val="D23A777E"/>
    <w:lvl w:ilvl="0" w:tplc="DC728EE4">
      <w:start w:val="3"/>
      <w:numFmt w:val="bullet"/>
      <w:lvlText w:val=""/>
      <w:lvlJc w:val="left"/>
      <w:pPr>
        <w:ind w:left="720" w:hanging="360"/>
      </w:pPr>
      <w:rPr>
        <w:rFonts w:ascii="Symbol" w:eastAsia="Times New Roman"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4E171A3F"/>
    <w:multiLevelType w:val="multilevel"/>
    <w:tmpl w:val="0F209F6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FDA1DE4"/>
    <w:multiLevelType w:val="hybridMultilevel"/>
    <w:tmpl w:val="E0E08338"/>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50D40ED5"/>
    <w:multiLevelType w:val="multilevel"/>
    <w:tmpl w:val="0409001D"/>
    <w:styleLink w:val="Style6"/>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52A714E7"/>
    <w:multiLevelType w:val="hybridMultilevel"/>
    <w:tmpl w:val="DB40D18E"/>
    <w:lvl w:ilvl="0" w:tplc="D7044DDC">
      <w:start w:val="1"/>
      <w:numFmt w:val="bullet"/>
      <w:pStyle w:val="BulletsLev1"/>
      <w:lvlText w:val=""/>
      <w:lvlJc w:val="left"/>
      <w:pPr>
        <w:ind w:left="720" w:hanging="360"/>
      </w:pPr>
      <w:rPr>
        <w:rFonts w:ascii="Wingdings" w:hAnsi="Wingdings" w:hint="default"/>
        <w:color w:val="44546A" w:themeColor="text2"/>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9AD7A70"/>
    <w:multiLevelType w:val="multilevel"/>
    <w:tmpl w:val="E03847EE"/>
    <w:lvl w:ilvl="0">
      <w:start w:val="4"/>
      <w:numFmt w:val="decimal"/>
      <w:lvlText w:val="Article %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AF408BD"/>
    <w:multiLevelType w:val="multilevel"/>
    <w:tmpl w:val="F842B6C6"/>
    <w:lvl w:ilvl="0">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B6C1622"/>
    <w:multiLevelType w:val="multilevel"/>
    <w:tmpl w:val="D42C170E"/>
    <w:lvl w:ilvl="0">
      <w:start w:val="10"/>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F160836"/>
    <w:multiLevelType w:val="multilevel"/>
    <w:tmpl w:val="681C689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FD37A0E"/>
    <w:multiLevelType w:val="multilevel"/>
    <w:tmpl w:val="5852B4DA"/>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0637401"/>
    <w:multiLevelType w:val="multilevel"/>
    <w:tmpl w:val="E334C550"/>
    <w:styleLink w:val="Style8"/>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1DA3420"/>
    <w:multiLevelType w:val="multilevel"/>
    <w:tmpl w:val="FB72D1EE"/>
    <w:lvl w:ilvl="0">
      <w:start w:val="11"/>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l-GR" w:eastAsia="el-GR" w:bidi="el-G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26E5A20"/>
    <w:multiLevelType w:val="multilevel"/>
    <w:tmpl w:val="72720F7C"/>
    <w:lvl w:ilvl="0">
      <w:start w:val="1"/>
      <w:numFmt w:val="upp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4CF2C71"/>
    <w:multiLevelType w:val="multilevel"/>
    <w:tmpl w:val="5CACC75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7660047"/>
    <w:multiLevelType w:val="multilevel"/>
    <w:tmpl w:val="CA387DE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77951B1"/>
    <w:multiLevelType w:val="multilevel"/>
    <w:tmpl w:val="4E941B4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9227DBA"/>
    <w:multiLevelType w:val="multilevel"/>
    <w:tmpl w:val="48BCA288"/>
    <w:lvl w:ilvl="0">
      <w:start w:val="8"/>
      <w:numFmt w:val="decimal"/>
      <w:lvlText w:val="(%1)"/>
      <w:lvlJc w:val="left"/>
    </w:lvl>
    <w:lvl w:ilvl="1">
      <w:start w:val="3"/>
      <w:numFmt w:val="decimal"/>
      <w:lvlText w:val="%1.%2."/>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D3555AD"/>
    <w:multiLevelType w:val="multilevel"/>
    <w:tmpl w:val="36E8C58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DEA09E8"/>
    <w:multiLevelType w:val="multilevel"/>
    <w:tmpl w:val="E60AAF62"/>
    <w:lvl w:ilvl="0">
      <w:start w:val="1"/>
      <w:numFmt w:val="upperRoman"/>
      <w:pStyle w:val="Annex1"/>
      <w:lvlText w:val="%1."/>
      <w:lvlJc w:val="left"/>
      <w:pPr>
        <w:ind w:left="0" w:firstLine="0"/>
      </w:pPr>
      <w:rPr>
        <w:rFonts w:hint="default"/>
      </w:rPr>
    </w:lvl>
    <w:lvl w:ilvl="1">
      <w:start w:val="1"/>
      <w:numFmt w:val="decimal"/>
      <w:pStyle w:val="Annex11"/>
      <w:lvlText w:val="%1%2."/>
      <w:lvlJc w:val="left"/>
      <w:pPr>
        <w:ind w:left="720" w:firstLine="0"/>
      </w:pPr>
      <w:rPr>
        <w:rFonts w:hint="default"/>
      </w:rPr>
    </w:lvl>
    <w:lvl w:ilvl="2">
      <w:start w:val="1"/>
      <w:numFmt w:val="decimal"/>
      <w:pStyle w:val="Norma"/>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4" w15:restartNumberingAfterBreak="0">
    <w:nsid w:val="6FB41871"/>
    <w:multiLevelType w:val="multilevel"/>
    <w:tmpl w:val="AAA291CC"/>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0C62BD7"/>
    <w:multiLevelType w:val="multilevel"/>
    <w:tmpl w:val="712E6136"/>
    <w:lvl w:ilvl="0">
      <w:start w:val="7"/>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0DB56A1"/>
    <w:multiLevelType w:val="multilevel"/>
    <w:tmpl w:val="2E6C3D6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7" w15:restartNumberingAfterBreak="0">
    <w:nsid w:val="72782690"/>
    <w:multiLevelType w:val="multilevel"/>
    <w:tmpl w:val="18A287B0"/>
    <w:lvl w:ilvl="0">
      <w:start w:val="1"/>
      <w:numFmt w:val="lowerRoman"/>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62D6686"/>
    <w:multiLevelType w:val="hybridMultilevel"/>
    <w:tmpl w:val="9692C5A8"/>
    <w:lvl w:ilvl="0" w:tplc="BF3A83DA">
      <w:start w:val="1"/>
      <w:numFmt w:val="decimal"/>
      <w:pStyle w:val="E2Level"/>
      <w:lvlText w:val="A.2.%1"/>
      <w:lvlJc w:val="left"/>
      <w:pPr>
        <w:ind w:left="720" w:hanging="360"/>
      </w:pPr>
      <w:rPr>
        <w:rFonts w:hint="default"/>
      </w:rPr>
    </w:lvl>
    <w:lvl w:ilvl="1" w:tplc="5106A38A">
      <w:numFmt w:val="bullet"/>
      <w:lvlText w:val="•"/>
      <w:lvlJc w:val="left"/>
      <w:pPr>
        <w:ind w:left="1800" w:hanging="720"/>
      </w:pPr>
      <w:rPr>
        <w:rFonts w:ascii="Calibri" w:eastAsiaTheme="minorEastAsia" w:hAnsi="Calibri" w:cs="Calibri" w:hint="default"/>
      </w:rPr>
    </w:lvl>
    <w:lvl w:ilvl="2" w:tplc="0410001B">
      <w:start w:val="1"/>
      <w:numFmt w:val="lowerRoman"/>
      <w:pStyle w:val="E3Level"/>
      <w:lvlText w:val="%3."/>
      <w:lvlJc w:val="right"/>
      <w:pPr>
        <w:ind w:left="2160" w:hanging="180"/>
      </w:pPr>
    </w:lvl>
    <w:lvl w:ilvl="3" w:tplc="0410000F" w:tentative="1">
      <w:start w:val="1"/>
      <w:numFmt w:val="decimal"/>
      <w:pStyle w:val="E4Level"/>
      <w:lvlText w:val="%4."/>
      <w:lvlJc w:val="left"/>
      <w:pPr>
        <w:ind w:left="2880" w:hanging="360"/>
      </w:pPr>
    </w:lvl>
    <w:lvl w:ilvl="4" w:tplc="04100019" w:tentative="1">
      <w:start w:val="1"/>
      <w:numFmt w:val="lowerLetter"/>
      <w:pStyle w:val="E5Level"/>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7764792A"/>
    <w:multiLevelType w:val="multilevel"/>
    <w:tmpl w:val="3064C2F4"/>
    <w:lvl w:ilvl="0">
      <w:start w:val="6"/>
      <w:numFmt w:val="decimal"/>
      <w:lvlText w:val="%1."/>
      <w:lvlJc w:val="left"/>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83E3EBD"/>
    <w:multiLevelType w:val="hybridMultilevel"/>
    <w:tmpl w:val="258CDE54"/>
    <w:lvl w:ilvl="0" w:tplc="85708790">
      <w:start w:val="1"/>
      <w:numFmt w:val="lowerLetter"/>
      <w:pStyle w:val="Elencopuntato"/>
      <w:lvlText w:val="%1)"/>
      <w:lvlJc w:val="left"/>
      <w:pPr>
        <w:tabs>
          <w:tab w:val="num" w:pos="1287"/>
        </w:tabs>
        <w:ind w:left="1287" w:hanging="363"/>
      </w:pPr>
      <w:rPr>
        <w:rFonts w:ascii="Times New Roman" w:eastAsia="Times New Roman" w:hAnsi="Times New Roman" w:cs="Times New Roman"/>
      </w:rPr>
    </w:lvl>
    <w:lvl w:ilvl="1" w:tplc="2E1670AC">
      <w:start w:val="1"/>
      <w:numFmt w:val="lowerRoman"/>
      <w:lvlText w:val="%2)"/>
      <w:lvlJc w:val="left"/>
      <w:pPr>
        <w:tabs>
          <w:tab w:val="num" w:pos="1800"/>
        </w:tabs>
        <w:ind w:left="1420" w:hanging="340"/>
      </w:pPr>
      <w:rPr>
        <w:rFonts w:cs="Times New Roman" w:hint="default"/>
      </w:rPr>
    </w:lvl>
    <w:lvl w:ilvl="2" w:tplc="F306B936">
      <w:start w:val="1"/>
      <w:numFmt w:val="bullet"/>
      <w:lvlText w:val=""/>
      <w:lvlJc w:val="left"/>
      <w:pPr>
        <w:tabs>
          <w:tab w:val="num" w:pos="2160"/>
        </w:tabs>
        <w:ind w:left="2160" w:hanging="360"/>
      </w:pPr>
      <w:rPr>
        <w:rFonts w:ascii="Wingdings" w:hAnsi="Wingdings" w:hint="default"/>
      </w:rPr>
    </w:lvl>
    <w:lvl w:ilvl="3" w:tplc="F454D706" w:tentative="1">
      <w:start w:val="1"/>
      <w:numFmt w:val="bullet"/>
      <w:lvlText w:val=""/>
      <w:lvlJc w:val="left"/>
      <w:pPr>
        <w:tabs>
          <w:tab w:val="num" w:pos="2880"/>
        </w:tabs>
        <w:ind w:left="2880" w:hanging="360"/>
      </w:pPr>
      <w:rPr>
        <w:rFonts w:ascii="Symbol" w:hAnsi="Symbol" w:hint="default"/>
      </w:rPr>
    </w:lvl>
    <w:lvl w:ilvl="4" w:tplc="7B307F30" w:tentative="1">
      <w:start w:val="1"/>
      <w:numFmt w:val="bullet"/>
      <w:lvlText w:val="o"/>
      <w:lvlJc w:val="left"/>
      <w:pPr>
        <w:tabs>
          <w:tab w:val="num" w:pos="3600"/>
        </w:tabs>
        <w:ind w:left="3600" w:hanging="360"/>
      </w:pPr>
      <w:rPr>
        <w:rFonts w:ascii="Courier New" w:hAnsi="Courier New" w:hint="default"/>
      </w:rPr>
    </w:lvl>
    <w:lvl w:ilvl="5" w:tplc="F6861A0A" w:tentative="1">
      <w:start w:val="1"/>
      <w:numFmt w:val="bullet"/>
      <w:lvlText w:val=""/>
      <w:lvlJc w:val="left"/>
      <w:pPr>
        <w:tabs>
          <w:tab w:val="num" w:pos="4320"/>
        </w:tabs>
        <w:ind w:left="4320" w:hanging="360"/>
      </w:pPr>
      <w:rPr>
        <w:rFonts w:ascii="Wingdings" w:hAnsi="Wingdings" w:hint="default"/>
      </w:rPr>
    </w:lvl>
    <w:lvl w:ilvl="6" w:tplc="73200EC6" w:tentative="1">
      <w:start w:val="1"/>
      <w:numFmt w:val="bullet"/>
      <w:lvlText w:val=""/>
      <w:lvlJc w:val="left"/>
      <w:pPr>
        <w:tabs>
          <w:tab w:val="num" w:pos="5040"/>
        </w:tabs>
        <w:ind w:left="5040" w:hanging="360"/>
      </w:pPr>
      <w:rPr>
        <w:rFonts w:ascii="Symbol" w:hAnsi="Symbol" w:hint="default"/>
      </w:rPr>
    </w:lvl>
    <w:lvl w:ilvl="7" w:tplc="1932ED26" w:tentative="1">
      <w:start w:val="1"/>
      <w:numFmt w:val="bullet"/>
      <w:lvlText w:val="o"/>
      <w:lvlJc w:val="left"/>
      <w:pPr>
        <w:tabs>
          <w:tab w:val="num" w:pos="5760"/>
        </w:tabs>
        <w:ind w:left="5760" w:hanging="360"/>
      </w:pPr>
      <w:rPr>
        <w:rFonts w:ascii="Courier New" w:hAnsi="Courier New" w:hint="default"/>
      </w:rPr>
    </w:lvl>
    <w:lvl w:ilvl="8" w:tplc="4A3436CC"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BEA0FED"/>
    <w:multiLevelType w:val="multilevel"/>
    <w:tmpl w:val="5D5AC392"/>
    <w:lvl w:ilvl="0">
      <w:start w:val="1"/>
      <w:numFmt w:val="decimal"/>
      <w:lvlText w:val="%1."/>
      <w:lvlJc w:val="left"/>
      <w:pPr>
        <w:ind w:left="360" w:hanging="360"/>
      </w:pPr>
      <w:rPr>
        <w:rFonts w:hint="default"/>
      </w:rPr>
    </w:lvl>
    <w:lvl w:ilvl="1">
      <w:start w:val="1"/>
      <w:numFmt w:val="decimal"/>
      <w:lvlText w:val="5.%2."/>
      <w:lvlJc w:val="left"/>
      <w:pPr>
        <w:ind w:left="858" w:hanging="432"/>
      </w:pPr>
      <w:rPr>
        <w:rFonts w:hint="default"/>
        <w:lang w:val="en-U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E5C64EF"/>
    <w:multiLevelType w:val="hybridMultilevel"/>
    <w:tmpl w:val="BC4C6300"/>
    <w:lvl w:ilvl="0" w:tplc="665663D4">
      <w:start w:val="6"/>
      <w:numFmt w:val="upperLetter"/>
      <w:pStyle w:val="Appendix"/>
      <w:lvlText w:val="Appendix %1"/>
      <w:lvlJc w:val="left"/>
      <w:pPr>
        <w:ind w:left="1069" w:hanging="360"/>
      </w:pPr>
      <w:rPr>
        <w:rFonts w:cs="Times New Roman" w:hint="default"/>
        <w:u w:val="singl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3" w15:restartNumberingAfterBreak="0">
    <w:nsid w:val="7E892F82"/>
    <w:multiLevelType w:val="multilevel"/>
    <w:tmpl w:val="59128254"/>
    <w:lvl w:ilvl="0">
      <w:start w:val="1"/>
      <w:numFmt w:val="decimal"/>
      <w:lvlText w:val="%1."/>
      <w:lvlJc w:val="left"/>
      <w:pPr>
        <w:ind w:left="360" w:hanging="360"/>
      </w:pPr>
      <w:rPr>
        <w:rFonts w:hint="default"/>
      </w:rPr>
    </w:lvl>
    <w:lvl w:ilvl="1">
      <w:start w:val="1"/>
      <w:numFmt w:val="lowerRoman"/>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94056297">
    <w:abstractNumId w:val="68"/>
  </w:num>
  <w:num w:numId="2" w16cid:durableId="781151995">
    <w:abstractNumId w:val="1"/>
  </w:num>
  <w:num w:numId="3" w16cid:durableId="1400591752">
    <w:abstractNumId w:val="36"/>
  </w:num>
  <w:num w:numId="4" w16cid:durableId="507604058">
    <w:abstractNumId w:val="2"/>
  </w:num>
  <w:num w:numId="5" w16cid:durableId="2139689450">
    <w:abstractNumId w:val="34"/>
  </w:num>
  <w:num w:numId="6" w16cid:durableId="719324511">
    <w:abstractNumId w:val="42"/>
  </w:num>
  <w:num w:numId="7" w16cid:durableId="19942915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1551813">
    <w:abstractNumId w:val="20"/>
  </w:num>
  <w:num w:numId="9" w16cid:durableId="1849295017">
    <w:abstractNumId w:val="21"/>
  </w:num>
  <w:num w:numId="10" w16cid:durableId="1669600384">
    <w:abstractNumId w:val="32"/>
  </w:num>
  <w:num w:numId="11" w16cid:durableId="753742443">
    <w:abstractNumId w:val="49"/>
  </w:num>
  <w:num w:numId="12" w16cid:durableId="1637948027">
    <w:abstractNumId w:val="11"/>
  </w:num>
  <w:num w:numId="13" w16cid:durableId="355232914">
    <w:abstractNumId w:val="63"/>
  </w:num>
  <w:num w:numId="14" w16cid:durableId="365445544">
    <w:abstractNumId w:val="28"/>
  </w:num>
  <w:num w:numId="15" w16cid:durableId="257446887">
    <w:abstractNumId w:val="23"/>
  </w:num>
  <w:num w:numId="16" w16cid:durableId="867766099">
    <w:abstractNumId w:val="70"/>
  </w:num>
  <w:num w:numId="17" w16cid:durableId="1328902348">
    <w:abstractNumId w:val="72"/>
  </w:num>
  <w:num w:numId="18" w16cid:durableId="1008560821">
    <w:abstractNumId w:val="30"/>
  </w:num>
  <w:num w:numId="19" w16cid:durableId="1907064127">
    <w:abstractNumId w:val="35"/>
  </w:num>
  <w:num w:numId="20" w16cid:durableId="104882743">
    <w:abstractNumId w:val="71"/>
  </w:num>
  <w:num w:numId="21" w16cid:durableId="963576749">
    <w:abstractNumId w:val="31"/>
  </w:num>
  <w:num w:numId="22" w16cid:durableId="1062215118">
    <w:abstractNumId w:val="44"/>
  </w:num>
  <w:num w:numId="23" w16cid:durableId="330765485">
    <w:abstractNumId w:val="15"/>
  </w:num>
  <w:num w:numId="24" w16cid:durableId="449783869">
    <w:abstractNumId w:val="51"/>
  </w:num>
  <w:num w:numId="25" w16cid:durableId="1755122789">
    <w:abstractNumId w:val="18"/>
  </w:num>
  <w:num w:numId="26" w16cid:durableId="227689282">
    <w:abstractNumId w:val="48"/>
  </w:num>
  <w:num w:numId="27" w16cid:durableId="1598976743">
    <w:abstractNumId w:val="43"/>
  </w:num>
  <w:num w:numId="28" w16cid:durableId="730080330">
    <w:abstractNumId w:val="16"/>
  </w:num>
  <w:num w:numId="29" w16cid:durableId="201014575">
    <w:abstractNumId w:val="0"/>
  </w:num>
  <w:num w:numId="30" w16cid:durableId="1869098874">
    <w:abstractNumId w:val="40"/>
  </w:num>
  <w:num w:numId="31" w16cid:durableId="31807765">
    <w:abstractNumId w:val="55"/>
  </w:num>
  <w:num w:numId="32" w16cid:durableId="878474654">
    <w:abstractNumId w:val="64"/>
  </w:num>
  <w:num w:numId="33" w16cid:durableId="1750231227">
    <w:abstractNumId w:val="4"/>
  </w:num>
  <w:num w:numId="34" w16cid:durableId="1695769239">
    <w:abstractNumId w:val="45"/>
  </w:num>
  <w:num w:numId="35" w16cid:durableId="912935300">
    <w:abstractNumId w:val="73"/>
  </w:num>
  <w:num w:numId="36" w16cid:durableId="39288311">
    <w:abstractNumId w:val="66"/>
  </w:num>
  <w:num w:numId="37" w16cid:durableId="2138526211">
    <w:abstractNumId w:val="47"/>
  </w:num>
  <w:num w:numId="38" w16cid:durableId="188642046">
    <w:abstractNumId w:val="24"/>
  </w:num>
  <w:num w:numId="39" w16cid:durableId="808786221">
    <w:abstractNumId w:val="33"/>
  </w:num>
  <w:num w:numId="40" w16cid:durableId="1085805806">
    <w:abstractNumId w:val="53"/>
  </w:num>
  <w:num w:numId="41" w16cid:durableId="737750684">
    <w:abstractNumId w:val="57"/>
  </w:num>
  <w:num w:numId="42" w16cid:durableId="1241451344">
    <w:abstractNumId w:val="38"/>
  </w:num>
  <w:num w:numId="43" w16cid:durableId="1053970848">
    <w:abstractNumId w:val="5"/>
  </w:num>
  <w:num w:numId="44" w16cid:durableId="817185752">
    <w:abstractNumId w:val="26"/>
  </w:num>
  <w:num w:numId="45" w16cid:durableId="2029797362">
    <w:abstractNumId w:val="22"/>
  </w:num>
  <w:num w:numId="46" w16cid:durableId="1816098263">
    <w:abstractNumId w:val="37"/>
  </w:num>
  <w:num w:numId="47" w16cid:durableId="148834496">
    <w:abstractNumId w:val="25"/>
  </w:num>
  <w:num w:numId="48" w16cid:durableId="1611088827">
    <w:abstractNumId w:val="29"/>
  </w:num>
  <w:num w:numId="49" w16cid:durableId="357238421">
    <w:abstractNumId w:val="67"/>
  </w:num>
  <w:num w:numId="50" w16cid:durableId="648706279">
    <w:abstractNumId w:val="39"/>
  </w:num>
  <w:num w:numId="51" w16cid:durableId="2019387958">
    <w:abstractNumId w:val="17"/>
  </w:num>
  <w:num w:numId="52" w16cid:durableId="1922135815">
    <w:abstractNumId w:val="50"/>
  </w:num>
  <w:num w:numId="53" w16cid:durableId="473907383">
    <w:abstractNumId w:val="6"/>
  </w:num>
  <w:num w:numId="54" w16cid:durableId="2006591705">
    <w:abstractNumId w:val="54"/>
  </w:num>
  <w:num w:numId="55" w16cid:durableId="1191456114">
    <w:abstractNumId w:val="3"/>
  </w:num>
  <w:num w:numId="56" w16cid:durableId="875193010">
    <w:abstractNumId w:val="27"/>
  </w:num>
  <w:num w:numId="57" w16cid:durableId="238946518">
    <w:abstractNumId w:val="69"/>
  </w:num>
  <w:num w:numId="58" w16cid:durableId="764302183">
    <w:abstractNumId w:val="65"/>
  </w:num>
  <w:num w:numId="59" w16cid:durableId="1768967272">
    <w:abstractNumId w:val="13"/>
  </w:num>
  <w:num w:numId="60" w16cid:durableId="2098208666">
    <w:abstractNumId w:val="59"/>
  </w:num>
  <w:num w:numId="61" w16cid:durableId="299772642">
    <w:abstractNumId w:val="60"/>
  </w:num>
  <w:num w:numId="62" w16cid:durableId="1545212532">
    <w:abstractNumId w:val="9"/>
  </w:num>
  <w:num w:numId="63" w16cid:durableId="689916497">
    <w:abstractNumId w:val="62"/>
  </w:num>
  <w:num w:numId="64" w16cid:durableId="1479684830">
    <w:abstractNumId w:val="19"/>
  </w:num>
  <w:num w:numId="65" w16cid:durableId="646398085">
    <w:abstractNumId w:val="10"/>
  </w:num>
  <w:num w:numId="66" w16cid:durableId="41294586">
    <w:abstractNumId w:val="14"/>
  </w:num>
  <w:num w:numId="67" w16cid:durableId="822962764">
    <w:abstractNumId w:val="61"/>
  </w:num>
  <w:num w:numId="68" w16cid:durableId="1067999659">
    <w:abstractNumId w:val="7"/>
  </w:num>
  <w:num w:numId="69" w16cid:durableId="773131981">
    <w:abstractNumId w:val="52"/>
  </w:num>
  <w:num w:numId="70" w16cid:durableId="1893422745">
    <w:abstractNumId w:val="41"/>
  </w:num>
  <w:num w:numId="71" w16cid:durableId="1947999736">
    <w:abstractNumId w:val="56"/>
  </w:num>
  <w:num w:numId="72" w16cid:durableId="1994528165">
    <w:abstractNumId w:val="8"/>
  </w:num>
  <w:num w:numId="73" w16cid:durableId="87040159">
    <w:abstractNumId w:val="46"/>
  </w:num>
  <w:num w:numId="74" w16cid:durableId="795565605">
    <w:abstractNumId w:val="5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CH" w:vendorID="64" w:dllVersion="6" w:nlCheck="1" w:checkStyle="0"/>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E44"/>
    <w:rsid w:val="000013A4"/>
    <w:rsid w:val="00001CCC"/>
    <w:rsid w:val="0000212B"/>
    <w:rsid w:val="000023C3"/>
    <w:rsid w:val="00004212"/>
    <w:rsid w:val="0000512B"/>
    <w:rsid w:val="0000648E"/>
    <w:rsid w:val="00010028"/>
    <w:rsid w:val="00010554"/>
    <w:rsid w:val="00010708"/>
    <w:rsid w:val="00010764"/>
    <w:rsid w:val="00011566"/>
    <w:rsid w:val="00012656"/>
    <w:rsid w:val="00013060"/>
    <w:rsid w:val="000139B6"/>
    <w:rsid w:val="00013E84"/>
    <w:rsid w:val="00014053"/>
    <w:rsid w:val="000148F5"/>
    <w:rsid w:val="00015195"/>
    <w:rsid w:val="000159BC"/>
    <w:rsid w:val="00016EB2"/>
    <w:rsid w:val="00020971"/>
    <w:rsid w:val="00021FC8"/>
    <w:rsid w:val="00023B76"/>
    <w:rsid w:val="00025164"/>
    <w:rsid w:val="00025B9F"/>
    <w:rsid w:val="00026478"/>
    <w:rsid w:val="00026F0C"/>
    <w:rsid w:val="000272B8"/>
    <w:rsid w:val="00030122"/>
    <w:rsid w:val="000309C3"/>
    <w:rsid w:val="000314FB"/>
    <w:rsid w:val="000315C3"/>
    <w:rsid w:val="000323CE"/>
    <w:rsid w:val="00032FD5"/>
    <w:rsid w:val="00033023"/>
    <w:rsid w:val="00035901"/>
    <w:rsid w:val="00035D15"/>
    <w:rsid w:val="00035D5D"/>
    <w:rsid w:val="00036236"/>
    <w:rsid w:val="0003782A"/>
    <w:rsid w:val="000413F5"/>
    <w:rsid w:val="000417B4"/>
    <w:rsid w:val="00041AE9"/>
    <w:rsid w:val="00041AFE"/>
    <w:rsid w:val="00041F19"/>
    <w:rsid w:val="00043858"/>
    <w:rsid w:val="000438EC"/>
    <w:rsid w:val="00043A70"/>
    <w:rsid w:val="00045396"/>
    <w:rsid w:val="00046F5C"/>
    <w:rsid w:val="00047C00"/>
    <w:rsid w:val="00050200"/>
    <w:rsid w:val="00050364"/>
    <w:rsid w:val="00051F0E"/>
    <w:rsid w:val="00051F5E"/>
    <w:rsid w:val="000535B4"/>
    <w:rsid w:val="00053C24"/>
    <w:rsid w:val="000549C6"/>
    <w:rsid w:val="00055E91"/>
    <w:rsid w:val="00056197"/>
    <w:rsid w:val="00057084"/>
    <w:rsid w:val="00057A21"/>
    <w:rsid w:val="00060468"/>
    <w:rsid w:val="000604B3"/>
    <w:rsid w:val="00060798"/>
    <w:rsid w:val="00060B85"/>
    <w:rsid w:val="00061F35"/>
    <w:rsid w:val="00062653"/>
    <w:rsid w:val="000632C5"/>
    <w:rsid w:val="000633F2"/>
    <w:rsid w:val="0006464C"/>
    <w:rsid w:val="00064862"/>
    <w:rsid w:val="0006571D"/>
    <w:rsid w:val="000663B3"/>
    <w:rsid w:val="00066C5E"/>
    <w:rsid w:val="00072A3F"/>
    <w:rsid w:val="00073463"/>
    <w:rsid w:val="00073E60"/>
    <w:rsid w:val="00074D2C"/>
    <w:rsid w:val="000771B7"/>
    <w:rsid w:val="0007786D"/>
    <w:rsid w:val="00081719"/>
    <w:rsid w:val="0008222B"/>
    <w:rsid w:val="00082E4A"/>
    <w:rsid w:val="000831EF"/>
    <w:rsid w:val="00083759"/>
    <w:rsid w:val="00084345"/>
    <w:rsid w:val="000903AE"/>
    <w:rsid w:val="00090544"/>
    <w:rsid w:val="00090C77"/>
    <w:rsid w:val="000915B0"/>
    <w:rsid w:val="0009176F"/>
    <w:rsid w:val="00092231"/>
    <w:rsid w:val="00093DDA"/>
    <w:rsid w:val="00093EFA"/>
    <w:rsid w:val="00094CC8"/>
    <w:rsid w:val="00095BD1"/>
    <w:rsid w:val="000969B7"/>
    <w:rsid w:val="00096FAE"/>
    <w:rsid w:val="0009785B"/>
    <w:rsid w:val="00097E5C"/>
    <w:rsid w:val="000A0855"/>
    <w:rsid w:val="000A2D4E"/>
    <w:rsid w:val="000A336B"/>
    <w:rsid w:val="000A4879"/>
    <w:rsid w:val="000A4E5E"/>
    <w:rsid w:val="000A5306"/>
    <w:rsid w:val="000A55A8"/>
    <w:rsid w:val="000A560D"/>
    <w:rsid w:val="000A6CD0"/>
    <w:rsid w:val="000A7EC0"/>
    <w:rsid w:val="000B0D1D"/>
    <w:rsid w:val="000B0EC8"/>
    <w:rsid w:val="000B158D"/>
    <w:rsid w:val="000B2580"/>
    <w:rsid w:val="000B2BD8"/>
    <w:rsid w:val="000B30BD"/>
    <w:rsid w:val="000B3467"/>
    <w:rsid w:val="000B4348"/>
    <w:rsid w:val="000B489A"/>
    <w:rsid w:val="000B6246"/>
    <w:rsid w:val="000B6339"/>
    <w:rsid w:val="000B7B5D"/>
    <w:rsid w:val="000C226B"/>
    <w:rsid w:val="000C261A"/>
    <w:rsid w:val="000C313D"/>
    <w:rsid w:val="000C3778"/>
    <w:rsid w:val="000C4C42"/>
    <w:rsid w:val="000C5197"/>
    <w:rsid w:val="000C6612"/>
    <w:rsid w:val="000C68AD"/>
    <w:rsid w:val="000C7A9B"/>
    <w:rsid w:val="000D0EF1"/>
    <w:rsid w:val="000D1C58"/>
    <w:rsid w:val="000D2246"/>
    <w:rsid w:val="000D3638"/>
    <w:rsid w:val="000D74A3"/>
    <w:rsid w:val="000E14E1"/>
    <w:rsid w:val="000E2C1B"/>
    <w:rsid w:val="000E3569"/>
    <w:rsid w:val="000E35B6"/>
    <w:rsid w:val="000E373E"/>
    <w:rsid w:val="000E422D"/>
    <w:rsid w:val="000E44F5"/>
    <w:rsid w:val="000F1877"/>
    <w:rsid w:val="000F1945"/>
    <w:rsid w:val="000F1AC8"/>
    <w:rsid w:val="000F3179"/>
    <w:rsid w:val="000F4C25"/>
    <w:rsid w:val="000F6E66"/>
    <w:rsid w:val="000F7288"/>
    <w:rsid w:val="000F741F"/>
    <w:rsid w:val="000F7B0D"/>
    <w:rsid w:val="00100826"/>
    <w:rsid w:val="00100B8E"/>
    <w:rsid w:val="00100BFA"/>
    <w:rsid w:val="00101722"/>
    <w:rsid w:val="00101CBC"/>
    <w:rsid w:val="00101D74"/>
    <w:rsid w:val="00103AE0"/>
    <w:rsid w:val="00105563"/>
    <w:rsid w:val="00106536"/>
    <w:rsid w:val="00106D78"/>
    <w:rsid w:val="0010702E"/>
    <w:rsid w:val="00107859"/>
    <w:rsid w:val="001117F6"/>
    <w:rsid w:val="00113496"/>
    <w:rsid w:val="00113B3D"/>
    <w:rsid w:val="00116C8D"/>
    <w:rsid w:val="00116E11"/>
    <w:rsid w:val="00116F03"/>
    <w:rsid w:val="001171F7"/>
    <w:rsid w:val="001174D6"/>
    <w:rsid w:val="00120E26"/>
    <w:rsid w:val="001213BE"/>
    <w:rsid w:val="00121B72"/>
    <w:rsid w:val="00123011"/>
    <w:rsid w:val="001233B6"/>
    <w:rsid w:val="00127184"/>
    <w:rsid w:val="00127DAD"/>
    <w:rsid w:val="00130A0D"/>
    <w:rsid w:val="00131333"/>
    <w:rsid w:val="0013483D"/>
    <w:rsid w:val="00135EE4"/>
    <w:rsid w:val="0013737A"/>
    <w:rsid w:val="00137771"/>
    <w:rsid w:val="00137DAB"/>
    <w:rsid w:val="001407A2"/>
    <w:rsid w:val="0014252A"/>
    <w:rsid w:val="00142554"/>
    <w:rsid w:val="00143AB3"/>
    <w:rsid w:val="00145F62"/>
    <w:rsid w:val="00146FAF"/>
    <w:rsid w:val="00147600"/>
    <w:rsid w:val="00150306"/>
    <w:rsid w:val="0015116C"/>
    <w:rsid w:val="001515EB"/>
    <w:rsid w:val="0015252F"/>
    <w:rsid w:val="00153E49"/>
    <w:rsid w:val="00153F95"/>
    <w:rsid w:val="00154C90"/>
    <w:rsid w:val="00154D7F"/>
    <w:rsid w:val="0015719B"/>
    <w:rsid w:val="001578B6"/>
    <w:rsid w:val="00157938"/>
    <w:rsid w:val="00160FEB"/>
    <w:rsid w:val="001612D6"/>
    <w:rsid w:val="001640C7"/>
    <w:rsid w:val="00164EBB"/>
    <w:rsid w:val="001661D6"/>
    <w:rsid w:val="001679FB"/>
    <w:rsid w:val="001700A0"/>
    <w:rsid w:val="001709AD"/>
    <w:rsid w:val="00170EF8"/>
    <w:rsid w:val="00171438"/>
    <w:rsid w:val="0017239C"/>
    <w:rsid w:val="00172A1D"/>
    <w:rsid w:val="00172F90"/>
    <w:rsid w:val="001750A8"/>
    <w:rsid w:val="001753E3"/>
    <w:rsid w:val="00176C92"/>
    <w:rsid w:val="00181028"/>
    <w:rsid w:val="001854E5"/>
    <w:rsid w:val="001868CC"/>
    <w:rsid w:val="00187378"/>
    <w:rsid w:val="00187C3A"/>
    <w:rsid w:val="00192F18"/>
    <w:rsid w:val="00193794"/>
    <w:rsid w:val="001940E5"/>
    <w:rsid w:val="001941CC"/>
    <w:rsid w:val="00195C82"/>
    <w:rsid w:val="00195FFE"/>
    <w:rsid w:val="00196572"/>
    <w:rsid w:val="00196C0D"/>
    <w:rsid w:val="00196D07"/>
    <w:rsid w:val="00197004"/>
    <w:rsid w:val="001A030E"/>
    <w:rsid w:val="001A0CAA"/>
    <w:rsid w:val="001A0D2E"/>
    <w:rsid w:val="001A1CB1"/>
    <w:rsid w:val="001A20B0"/>
    <w:rsid w:val="001A391A"/>
    <w:rsid w:val="001A4276"/>
    <w:rsid w:val="001A450D"/>
    <w:rsid w:val="001A537A"/>
    <w:rsid w:val="001B07FE"/>
    <w:rsid w:val="001B0CCD"/>
    <w:rsid w:val="001B12E8"/>
    <w:rsid w:val="001B3573"/>
    <w:rsid w:val="001B5A03"/>
    <w:rsid w:val="001B5E0B"/>
    <w:rsid w:val="001B607B"/>
    <w:rsid w:val="001B61CD"/>
    <w:rsid w:val="001B675F"/>
    <w:rsid w:val="001B7590"/>
    <w:rsid w:val="001B7CBD"/>
    <w:rsid w:val="001B7F55"/>
    <w:rsid w:val="001C185E"/>
    <w:rsid w:val="001C1C74"/>
    <w:rsid w:val="001C2070"/>
    <w:rsid w:val="001C3ED8"/>
    <w:rsid w:val="001C5378"/>
    <w:rsid w:val="001C574F"/>
    <w:rsid w:val="001C5973"/>
    <w:rsid w:val="001C6CDD"/>
    <w:rsid w:val="001D00D6"/>
    <w:rsid w:val="001D03BB"/>
    <w:rsid w:val="001D0BF7"/>
    <w:rsid w:val="001D1083"/>
    <w:rsid w:val="001D1A39"/>
    <w:rsid w:val="001D27C6"/>
    <w:rsid w:val="001D2931"/>
    <w:rsid w:val="001D2EA5"/>
    <w:rsid w:val="001D2F87"/>
    <w:rsid w:val="001D3088"/>
    <w:rsid w:val="001D348C"/>
    <w:rsid w:val="001D3712"/>
    <w:rsid w:val="001D440D"/>
    <w:rsid w:val="001D46A8"/>
    <w:rsid w:val="001D62C9"/>
    <w:rsid w:val="001D6FDD"/>
    <w:rsid w:val="001D7092"/>
    <w:rsid w:val="001D70BD"/>
    <w:rsid w:val="001E051E"/>
    <w:rsid w:val="001E1B8D"/>
    <w:rsid w:val="001E1D86"/>
    <w:rsid w:val="001E2A8F"/>
    <w:rsid w:val="001E2F8E"/>
    <w:rsid w:val="001E2FEF"/>
    <w:rsid w:val="001E39C0"/>
    <w:rsid w:val="001E3D2B"/>
    <w:rsid w:val="001E43A2"/>
    <w:rsid w:val="001E524D"/>
    <w:rsid w:val="001E528B"/>
    <w:rsid w:val="001E7CD2"/>
    <w:rsid w:val="001F0A2A"/>
    <w:rsid w:val="001F0E30"/>
    <w:rsid w:val="001F29D5"/>
    <w:rsid w:val="001F2B9D"/>
    <w:rsid w:val="001F34E0"/>
    <w:rsid w:val="001F4176"/>
    <w:rsid w:val="001F4FAD"/>
    <w:rsid w:val="001F6A02"/>
    <w:rsid w:val="001F6D85"/>
    <w:rsid w:val="00202414"/>
    <w:rsid w:val="00205691"/>
    <w:rsid w:val="00205698"/>
    <w:rsid w:val="0020634B"/>
    <w:rsid w:val="0020637D"/>
    <w:rsid w:val="00210BBF"/>
    <w:rsid w:val="00211E9C"/>
    <w:rsid w:val="00212497"/>
    <w:rsid w:val="00213113"/>
    <w:rsid w:val="00213812"/>
    <w:rsid w:val="00213F7D"/>
    <w:rsid w:val="002140A0"/>
    <w:rsid w:val="0021433F"/>
    <w:rsid w:val="0021442E"/>
    <w:rsid w:val="002146EB"/>
    <w:rsid w:val="0021470E"/>
    <w:rsid w:val="0021687D"/>
    <w:rsid w:val="0021759A"/>
    <w:rsid w:val="00220211"/>
    <w:rsid w:val="00220337"/>
    <w:rsid w:val="00222097"/>
    <w:rsid w:val="002235A5"/>
    <w:rsid w:val="00223C58"/>
    <w:rsid w:val="002243AD"/>
    <w:rsid w:val="002250AB"/>
    <w:rsid w:val="002256AE"/>
    <w:rsid w:val="0022617D"/>
    <w:rsid w:val="00226423"/>
    <w:rsid w:val="0022693F"/>
    <w:rsid w:val="00226E49"/>
    <w:rsid w:val="00230858"/>
    <w:rsid w:val="0023113C"/>
    <w:rsid w:val="00231D0C"/>
    <w:rsid w:val="00232A80"/>
    <w:rsid w:val="00234BDD"/>
    <w:rsid w:val="0023603E"/>
    <w:rsid w:val="00236E69"/>
    <w:rsid w:val="002375ED"/>
    <w:rsid w:val="002402C5"/>
    <w:rsid w:val="002402E4"/>
    <w:rsid w:val="00240DAE"/>
    <w:rsid w:val="00241B57"/>
    <w:rsid w:val="00241CE5"/>
    <w:rsid w:val="00241FAD"/>
    <w:rsid w:val="00242224"/>
    <w:rsid w:val="0024286C"/>
    <w:rsid w:val="00243F99"/>
    <w:rsid w:val="00244A10"/>
    <w:rsid w:val="002450A3"/>
    <w:rsid w:val="002457C2"/>
    <w:rsid w:val="00247063"/>
    <w:rsid w:val="0025006C"/>
    <w:rsid w:val="002500C0"/>
    <w:rsid w:val="00251542"/>
    <w:rsid w:val="00251F05"/>
    <w:rsid w:val="0025239B"/>
    <w:rsid w:val="002526C2"/>
    <w:rsid w:val="002529F8"/>
    <w:rsid w:val="0025477B"/>
    <w:rsid w:val="00254A68"/>
    <w:rsid w:val="00256E5C"/>
    <w:rsid w:val="002663FC"/>
    <w:rsid w:val="00267624"/>
    <w:rsid w:val="00267E44"/>
    <w:rsid w:val="00272171"/>
    <w:rsid w:val="00273EBB"/>
    <w:rsid w:val="00274576"/>
    <w:rsid w:val="00277F54"/>
    <w:rsid w:val="002804C0"/>
    <w:rsid w:val="00280AE1"/>
    <w:rsid w:val="00280DD6"/>
    <w:rsid w:val="00281B93"/>
    <w:rsid w:val="002820D6"/>
    <w:rsid w:val="0028448E"/>
    <w:rsid w:val="00284566"/>
    <w:rsid w:val="00284F1A"/>
    <w:rsid w:val="002854EA"/>
    <w:rsid w:val="0028747F"/>
    <w:rsid w:val="00287B91"/>
    <w:rsid w:val="00290A0C"/>
    <w:rsid w:val="00291F65"/>
    <w:rsid w:val="002937CA"/>
    <w:rsid w:val="00294738"/>
    <w:rsid w:val="002948E6"/>
    <w:rsid w:val="002958EB"/>
    <w:rsid w:val="002A1357"/>
    <w:rsid w:val="002A1AEB"/>
    <w:rsid w:val="002A1ED6"/>
    <w:rsid w:val="002A4623"/>
    <w:rsid w:val="002A4C27"/>
    <w:rsid w:val="002A4D2B"/>
    <w:rsid w:val="002A5043"/>
    <w:rsid w:val="002A5A5B"/>
    <w:rsid w:val="002A5E79"/>
    <w:rsid w:val="002A7DCD"/>
    <w:rsid w:val="002B0A4C"/>
    <w:rsid w:val="002B2987"/>
    <w:rsid w:val="002B2F35"/>
    <w:rsid w:val="002B2FD7"/>
    <w:rsid w:val="002B3595"/>
    <w:rsid w:val="002B54ED"/>
    <w:rsid w:val="002B54FB"/>
    <w:rsid w:val="002B5626"/>
    <w:rsid w:val="002B5BB9"/>
    <w:rsid w:val="002B6270"/>
    <w:rsid w:val="002B668E"/>
    <w:rsid w:val="002B67A3"/>
    <w:rsid w:val="002B6978"/>
    <w:rsid w:val="002B6BFD"/>
    <w:rsid w:val="002B788D"/>
    <w:rsid w:val="002C0E60"/>
    <w:rsid w:val="002C16AB"/>
    <w:rsid w:val="002C2F6C"/>
    <w:rsid w:val="002C3389"/>
    <w:rsid w:val="002C38C0"/>
    <w:rsid w:val="002C3B1E"/>
    <w:rsid w:val="002C40FB"/>
    <w:rsid w:val="002C4A50"/>
    <w:rsid w:val="002C4B69"/>
    <w:rsid w:val="002C7856"/>
    <w:rsid w:val="002D02C8"/>
    <w:rsid w:val="002D4C0D"/>
    <w:rsid w:val="002D4CF0"/>
    <w:rsid w:val="002D4DA2"/>
    <w:rsid w:val="002D4F46"/>
    <w:rsid w:val="002D4FF3"/>
    <w:rsid w:val="002D53F9"/>
    <w:rsid w:val="002D5D2C"/>
    <w:rsid w:val="002D6E29"/>
    <w:rsid w:val="002D79AB"/>
    <w:rsid w:val="002D7C7E"/>
    <w:rsid w:val="002D7D01"/>
    <w:rsid w:val="002E0510"/>
    <w:rsid w:val="002E0539"/>
    <w:rsid w:val="002E0E24"/>
    <w:rsid w:val="002E12D9"/>
    <w:rsid w:val="002E1944"/>
    <w:rsid w:val="002E532C"/>
    <w:rsid w:val="002E650A"/>
    <w:rsid w:val="002E7093"/>
    <w:rsid w:val="002F1356"/>
    <w:rsid w:val="002F36B6"/>
    <w:rsid w:val="002F3B5F"/>
    <w:rsid w:val="002F5AC0"/>
    <w:rsid w:val="002F5BF0"/>
    <w:rsid w:val="002F690B"/>
    <w:rsid w:val="002F7F1E"/>
    <w:rsid w:val="00302487"/>
    <w:rsid w:val="00303885"/>
    <w:rsid w:val="003041CC"/>
    <w:rsid w:val="00304C88"/>
    <w:rsid w:val="0030555C"/>
    <w:rsid w:val="003059FD"/>
    <w:rsid w:val="00307113"/>
    <w:rsid w:val="0031032E"/>
    <w:rsid w:val="0031085B"/>
    <w:rsid w:val="00310F6A"/>
    <w:rsid w:val="0031278E"/>
    <w:rsid w:val="00312AFD"/>
    <w:rsid w:val="003139C9"/>
    <w:rsid w:val="00313F4C"/>
    <w:rsid w:val="00314341"/>
    <w:rsid w:val="003147F2"/>
    <w:rsid w:val="00316524"/>
    <w:rsid w:val="0031757F"/>
    <w:rsid w:val="003177FF"/>
    <w:rsid w:val="00317B81"/>
    <w:rsid w:val="00317F53"/>
    <w:rsid w:val="00321690"/>
    <w:rsid w:val="00321851"/>
    <w:rsid w:val="003222CB"/>
    <w:rsid w:val="003224AD"/>
    <w:rsid w:val="00322C04"/>
    <w:rsid w:val="0032329E"/>
    <w:rsid w:val="0032378B"/>
    <w:rsid w:val="003249F0"/>
    <w:rsid w:val="00324A8A"/>
    <w:rsid w:val="00326FC1"/>
    <w:rsid w:val="003271E2"/>
    <w:rsid w:val="00327569"/>
    <w:rsid w:val="003306A0"/>
    <w:rsid w:val="003311AD"/>
    <w:rsid w:val="00331421"/>
    <w:rsid w:val="003322DD"/>
    <w:rsid w:val="003325C1"/>
    <w:rsid w:val="00333C36"/>
    <w:rsid w:val="00335065"/>
    <w:rsid w:val="00336F71"/>
    <w:rsid w:val="0033701A"/>
    <w:rsid w:val="00337F08"/>
    <w:rsid w:val="00340523"/>
    <w:rsid w:val="00340B9E"/>
    <w:rsid w:val="003413D9"/>
    <w:rsid w:val="00341606"/>
    <w:rsid w:val="003446F6"/>
    <w:rsid w:val="00345017"/>
    <w:rsid w:val="003450C1"/>
    <w:rsid w:val="003459CA"/>
    <w:rsid w:val="003460CD"/>
    <w:rsid w:val="00351659"/>
    <w:rsid w:val="0035200D"/>
    <w:rsid w:val="0035242C"/>
    <w:rsid w:val="003540B1"/>
    <w:rsid w:val="00354572"/>
    <w:rsid w:val="0035533A"/>
    <w:rsid w:val="00355FEC"/>
    <w:rsid w:val="003566D7"/>
    <w:rsid w:val="00360410"/>
    <w:rsid w:val="003605B6"/>
    <w:rsid w:val="00360D1D"/>
    <w:rsid w:val="00362CE1"/>
    <w:rsid w:val="003650CB"/>
    <w:rsid w:val="003657AD"/>
    <w:rsid w:val="00367984"/>
    <w:rsid w:val="0037091F"/>
    <w:rsid w:val="00371881"/>
    <w:rsid w:val="003720B8"/>
    <w:rsid w:val="003723B8"/>
    <w:rsid w:val="00374CA6"/>
    <w:rsid w:val="00375612"/>
    <w:rsid w:val="00375A35"/>
    <w:rsid w:val="00376135"/>
    <w:rsid w:val="003763A9"/>
    <w:rsid w:val="00376825"/>
    <w:rsid w:val="00376C7A"/>
    <w:rsid w:val="00377570"/>
    <w:rsid w:val="003779EC"/>
    <w:rsid w:val="0038025F"/>
    <w:rsid w:val="00380A4E"/>
    <w:rsid w:val="00380A50"/>
    <w:rsid w:val="00381541"/>
    <w:rsid w:val="003819FA"/>
    <w:rsid w:val="0038288F"/>
    <w:rsid w:val="00384D70"/>
    <w:rsid w:val="0038504B"/>
    <w:rsid w:val="003853EF"/>
    <w:rsid w:val="003854BA"/>
    <w:rsid w:val="00385E96"/>
    <w:rsid w:val="0038610E"/>
    <w:rsid w:val="00387350"/>
    <w:rsid w:val="00387DF2"/>
    <w:rsid w:val="003909CA"/>
    <w:rsid w:val="003927AF"/>
    <w:rsid w:val="003929FF"/>
    <w:rsid w:val="00392E43"/>
    <w:rsid w:val="00392FB1"/>
    <w:rsid w:val="00392FF1"/>
    <w:rsid w:val="003937DD"/>
    <w:rsid w:val="0039544C"/>
    <w:rsid w:val="00395523"/>
    <w:rsid w:val="0039585D"/>
    <w:rsid w:val="003A0054"/>
    <w:rsid w:val="003A07DC"/>
    <w:rsid w:val="003A0C39"/>
    <w:rsid w:val="003A2326"/>
    <w:rsid w:val="003A2757"/>
    <w:rsid w:val="003A28C8"/>
    <w:rsid w:val="003A2E84"/>
    <w:rsid w:val="003A3341"/>
    <w:rsid w:val="003A3AA1"/>
    <w:rsid w:val="003A5100"/>
    <w:rsid w:val="003B0078"/>
    <w:rsid w:val="003B0E70"/>
    <w:rsid w:val="003B185F"/>
    <w:rsid w:val="003B2CC3"/>
    <w:rsid w:val="003B455A"/>
    <w:rsid w:val="003B4802"/>
    <w:rsid w:val="003B48C2"/>
    <w:rsid w:val="003B7A56"/>
    <w:rsid w:val="003B7C0F"/>
    <w:rsid w:val="003B7F87"/>
    <w:rsid w:val="003C4036"/>
    <w:rsid w:val="003C450A"/>
    <w:rsid w:val="003C46AF"/>
    <w:rsid w:val="003C4DFD"/>
    <w:rsid w:val="003C6052"/>
    <w:rsid w:val="003C67ED"/>
    <w:rsid w:val="003D0982"/>
    <w:rsid w:val="003D0C82"/>
    <w:rsid w:val="003D2272"/>
    <w:rsid w:val="003D3AE0"/>
    <w:rsid w:val="003D5005"/>
    <w:rsid w:val="003D550E"/>
    <w:rsid w:val="003D6756"/>
    <w:rsid w:val="003D7CC1"/>
    <w:rsid w:val="003E05D2"/>
    <w:rsid w:val="003E0FCF"/>
    <w:rsid w:val="003E1D72"/>
    <w:rsid w:val="003E2099"/>
    <w:rsid w:val="003E4BB9"/>
    <w:rsid w:val="003E4E60"/>
    <w:rsid w:val="003E5BB2"/>
    <w:rsid w:val="003E5BF7"/>
    <w:rsid w:val="003E648B"/>
    <w:rsid w:val="003E6877"/>
    <w:rsid w:val="003E70C3"/>
    <w:rsid w:val="003E726A"/>
    <w:rsid w:val="003F020B"/>
    <w:rsid w:val="003F05E3"/>
    <w:rsid w:val="003F16D3"/>
    <w:rsid w:val="003F19AB"/>
    <w:rsid w:val="003F1ADE"/>
    <w:rsid w:val="003F2515"/>
    <w:rsid w:val="003F41D2"/>
    <w:rsid w:val="003F4944"/>
    <w:rsid w:val="003F4FC8"/>
    <w:rsid w:val="003F550D"/>
    <w:rsid w:val="003F5B83"/>
    <w:rsid w:val="003F68FA"/>
    <w:rsid w:val="003F7C5E"/>
    <w:rsid w:val="00400278"/>
    <w:rsid w:val="004011FC"/>
    <w:rsid w:val="004026E4"/>
    <w:rsid w:val="00402DE4"/>
    <w:rsid w:val="00403A35"/>
    <w:rsid w:val="00405A57"/>
    <w:rsid w:val="004061D7"/>
    <w:rsid w:val="0040631D"/>
    <w:rsid w:val="00406CA0"/>
    <w:rsid w:val="00407AD6"/>
    <w:rsid w:val="00410568"/>
    <w:rsid w:val="004116D8"/>
    <w:rsid w:val="004127F3"/>
    <w:rsid w:val="00412921"/>
    <w:rsid w:val="00412FB4"/>
    <w:rsid w:val="00413C78"/>
    <w:rsid w:val="00413D14"/>
    <w:rsid w:val="00414554"/>
    <w:rsid w:val="00414D3D"/>
    <w:rsid w:val="00414EBA"/>
    <w:rsid w:val="0041539F"/>
    <w:rsid w:val="00415692"/>
    <w:rsid w:val="0041585C"/>
    <w:rsid w:val="004169D8"/>
    <w:rsid w:val="004173CD"/>
    <w:rsid w:val="00420552"/>
    <w:rsid w:val="00423DD0"/>
    <w:rsid w:val="00423E48"/>
    <w:rsid w:val="00424B14"/>
    <w:rsid w:val="004251EF"/>
    <w:rsid w:val="00426ECD"/>
    <w:rsid w:val="004278F5"/>
    <w:rsid w:val="004303DD"/>
    <w:rsid w:val="0043121C"/>
    <w:rsid w:val="00431D5B"/>
    <w:rsid w:val="0043259D"/>
    <w:rsid w:val="00434984"/>
    <w:rsid w:val="00434BC6"/>
    <w:rsid w:val="00434DB7"/>
    <w:rsid w:val="00435170"/>
    <w:rsid w:val="00435AF2"/>
    <w:rsid w:val="00437F20"/>
    <w:rsid w:val="0044054F"/>
    <w:rsid w:val="0044112A"/>
    <w:rsid w:val="00441F42"/>
    <w:rsid w:val="00442F9B"/>
    <w:rsid w:val="004431C2"/>
    <w:rsid w:val="0044353D"/>
    <w:rsid w:val="004436D0"/>
    <w:rsid w:val="00443AAC"/>
    <w:rsid w:val="004440B8"/>
    <w:rsid w:val="004461E1"/>
    <w:rsid w:val="00450165"/>
    <w:rsid w:val="00452231"/>
    <w:rsid w:val="00452328"/>
    <w:rsid w:val="00453512"/>
    <w:rsid w:val="004566BD"/>
    <w:rsid w:val="004566C0"/>
    <w:rsid w:val="004571A9"/>
    <w:rsid w:val="00457342"/>
    <w:rsid w:val="00461AD9"/>
    <w:rsid w:val="00462547"/>
    <w:rsid w:val="004625AA"/>
    <w:rsid w:val="00462A00"/>
    <w:rsid w:val="004641B1"/>
    <w:rsid w:val="00465920"/>
    <w:rsid w:val="004659B6"/>
    <w:rsid w:val="004661AA"/>
    <w:rsid w:val="00467B9E"/>
    <w:rsid w:val="004700D2"/>
    <w:rsid w:val="0047073D"/>
    <w:rsid w:val="004718A3"/>
    <w:rsid w:val="004730E7"/>
    <w:rsid w:val="004733DD"/>
    <w:rsid w:val="004734A1"/>
    <w:rsid w:val="00473712"/>
    <w:rsid w:val="00473872"/>
    <w:rsid w:val="004740A2"/>
    <w:rsid w:val="004740FC"/>
    <w:rsid w:val="00475E79"/>
    <w:rsid w:val="00476580"/>
    <w:rsid w:val="004767DF"/>
    <w:rsid w:val="00477463"/>
    <w:rsid w:val="004774E4"/>
    <w:rsid w:val="00477E92"/>
    <w:rsid w:val="00481702"/>
    <w:rsid w:val="004823F5"/>
    <w:rsid w:val="0048281A"/>
    <w:rsid w:val="00483C1C"/>
    <w:rsid w:val="00483E2C"/>
    <w:rsid w:val="00484DE6"/>
    <w:rsid w:val="004851A0"/>
    <w:rsid w:val="00485FFD"/>
    <w:rsid w:val="004865FD"/>
    <w:rsid w:val="00487518"/>
    <w:rsid w:val="00487699"/>
    <w:rsid w:val="0049099F"/>
    <w:rsid w:val="00491A4D"/>
    <w:rsid w:val="00491BAE"/>
    <w:rsid w:val="00491E43"/>
    <w:rsid w:val="00492E1E"/>
    <w:rsid w:val="004935B5"/>
    <w:rsid w:val="004937CF"/>
    <w:rsid w:val="00494389"/>
    <w:rsid w:val="00494FB9"/>
    <w:rsid w:val="00495537"/>
    <w:rsid w:val="0049564F"/>
    <w:rsid w:val="00496EF6"/>
    <w:rsid w:val="004A2222"/>
    <w:rsid w:val="004A2A0D"/>
    <w:rsid w:val="004A4731"/>
    <w:rsid w:val="004A53D3"/>
    <w:rsid w:val="004A688F"/>
    <w:rsid w:val="004A69FE"/>
    <w:rsid w:val="004A7150"/>
    <w:rsid w:val="004A7581"/>
    <w:rsid w:val="004A7FC5"/>
    <w:rsid w:val="004B00E3"/>
    <w:rsid w:val="004B01AB"/>
    <w:rsid w:val="004B0CB1"/>
    <w:rsid w:val="004B1C03"/>
    <w:rsid w:val="004B3048"/>
    <w:rsid w:val="004B4A39"/>
    <w:rsid w:val="004B53E5"/>
    <w:rsid w:val="004B6499"/>
    <w:rsid w:val="004B65D9"/>
    <w:rsid w:val="004B672F"/>
    <w:rsid w:val="004B78B3"/>
    <w:rsid w:val="004C0455"/>
    <w:rsid w:val="004C1AE0"/>
    <w:rsid w:val="004C2978"/>
    <w:rsid w:val="004C3234"/>
    <w:rsid w:val="004C3C27"/>
    <w:rsid w:val="004C3DBA"/>
    <w:rsid w:val="004C3F2E"/>
    <w:rsid w:val="004C42C4"/>
    <w:rsid w:val="004C5122"/>
    <w:rsid w:val="004C55C5"/>
    <w:rsid w:val="004C5F44"/>
    <w:rsid w:val="004C6118"/>
    <w:rsid w:val="004D0FDA"/>
    <w:rsid w:val="004D218C"/>
    <w:rsid w:val="004D229E"/>
    <w:rsid w:val="004D23CE"/>
    <w:rsid w:val="004D23EE"/>
    <w:rsid w:val="004D25F5"/>
    <w:rsid w:val="004D33AA"/>
    <w:rsid w:val="004D433B"/>
    <w:rsid w:val="004D4B7B"/>
    <w:rsid w:val="004D5011"/>
    <w:rsid w:val="004D5332"/>
    <w:rsid w:val="004D6058"/>
    <w:rsid w:val="004D6112"/>
    <w:rsid w:val="004D634A"/>
    <w:rsid w:val="004D67A1"/>
    <w:rsid w:val="004D6EE3"/>
    <w:rsid w:val="004D6EE4"/>
    <w:rsid w:val="004D7340"/>
    <w:rsid w:val="004E1A49"/>
    <w:rsid w:val="004E255C"/>
    <w:rsid w:val="004E2A35"/>
    <w:rsid w:val="004E33AA"/>
    <w:rsid w:val="004E4649"/>
    <w:rsid w:val="004E63D7"/>
    <w:rsid w:val="004E71BE"/>
    <w:rsid w:val="004F0A0B"/>
    <w:rsid w:val="004F11A7"/>
    <w:rsid w:val="004F1639"/>
    <w:rsid w:val="004F1B24"/>
    <w:rsid w:val="004F43D0"/>
    <w:rsid w:val="004F4F61"/>
    <w:rsid w:val="004F5EE1"/>
    <w:rsid w:val="004F5FC8"/>
    <w:rsid w:val="004F629F"/>
    <w:rsid w:val="004F791A"/>
    <w:rsid w:val="0050008D"/>
    <w:rsid w:val="00501EF7"/>
    <w:rsid w:val="00503153"/>
    <w:rsid w:val="00503801"/>
    <w:rsid w:val="00504759"/>
    <w:rsid w:val="00506EA6"/>
    <w:rsid w:val="0050744A"/>
    <w:rsid w:val="00507593"/>
    <w:rsid w:val="00510024"/>
    <w:rsid w:val="0051019C"/>
    <w:rsid w:val="0051034F"/>
    <w:rsid w:val="00510825"/>
    <w:rsid w:val="005110CB"/>
    <w:rsid w:val="00511216"/>
    <w:rsid w:val="005117A3"/>
    <w:rsid w:val="00511F51"/>
    <w:rsid w:val="005122FA"/>
    <w:rsid w:val="005126D0"/>
    <w:rsid w:val="00513112"/>
    <w:rsid w:val="00513731"/>
    <w:rsid w:val="00513F19"/>
    <w:rsid w:val="00514686"/>
    <w:rsid w:val="00515A93"/>
    <w:rsid w:val="005166C6"/>
    <w:rsid w:val="005169D6"/>
    <w:rsid w:val="00517531"/>
    <w:rsid w:val="0052118E"/>
    <w:rsid w:val="00521431"/>
    <w:rsid w:val="005215CF"/>
    <w:rsid w:val="005238FE"/>
    <w:rsid w:val="00523B27"/>
    <w:rsid w:val="00530A39"/>
    <w:rsid w:val="005314C2"/>
    <w:rsid w:val="00532A24"/>
    <w:rsid w:val="005333E9"/>
    <w:rsid w:val="00533ED1"/>
    <w:rsid w:val="00534A66"/>
    <w:rsid w:val="00537A5A"/>
    <w:rsid w:val="005409E3"/>
    <w:rsid w:val="00541135"/>
    <w:rsid w:val="00541E64"/>
    <w:rsid w:val="00542495"/>
    <w:rsid w:val="00543647"/>
    <w:rsid w:val="00543893"/>
    <w:rsid w:val="00546C71"/>
    <w:rsid w:val="00550265"/>
    <w:rsid w:val="005509A6"/>
    <w:rsid w:val="0055100D"/>
    <w:rsid w:val="00551BEA"/>
    <w:rsid w:val="00551CFA"/>
    <w:rsid w:val="0055217A"/>
    <w:rsid w:val="0055277A"/>
    <w:rsid w:val="00553019"/>
    <w:rsid w:val="0055420F"/>
    <w:rsid w:val="00554F03"/>
    <w:rsid w:val="00556053"/>
    <w:rsid w:val="0055650F"/>
    <w:rsid w:val="00556954"/>
    <w:rsid w:val="005575AA"/>
    <w:rsid w:val="0056040F"/>
    <w:rsid w:val="00560BF3"/>
    <w:rsid w:val="00560F4D"/>
    <w:rsid w:val="005611E3"/>
    <w:rsid w:val="00561B32"/>
    <w:rsid w:val="00563148"/>
    <w:rsid w:val="00565957"/>
    <w:rsid w:val="00572B0F"/>
    <w:rsid w:val="005736E1"/>
    <w:rsid w:val="00574F5F"/>
    <w:rsid w:val="005759A5"/>
    <w:rsid w:val="005809F8"/>
    <w:rsid w:val="00580F1C"/>
    <w:rsid w:val="00582227"/>
    <w:rsid w:val="00582BAE"/>
    <w:rsid w:val="00583063"/>
    <w:rsid w:val="005840DB"/>
    <w:rsid w:val="0058553A"/>
    <w:rsid w:val="00585C37"/>
    <w:rsid w:val="00586210"/>
    <w:rsid w:val="005862E8"/>
    <w:rsid w:val="00586A92"/>
    <w:rsid w:val="00586AF3"/>
    <w:rsid w:val="005871F2"/>
    <w:rsid w:val="00587C2A"/>
    <w:rsid w:val="00587C8F"/>
    <w:rsid w:val="00590F58"/>
    <w:rsid w:val="005910C8"/>
    <w:rsid w:val="005914A6"/>
    <w:rsid w:val="005926ED"/>
    <w:rsid w:val="005928F4"/>
    <w:rsid w:val="00593538"/>
    <w:rsid w:val="005944ED"/>
    <w:rsid w:val="005945AD"/>
    <w:rsid w:val="005946F1"/>
    <w:rsid w:val="00595557"/>
    <w:rsid w:val="00595E53"/>
    <w:rsid w:val="0059610B"/>
    <w:rsid w:val="0059643A"/>
    <w:rsid w:val="00597437"/>
    <w:rsid w:val="00597D00"/>
    <w:rsid w:val="005A00FF"/>
    <w:rsid w:val="005A0457"/>
    <w:rsid w:val="005A182A"/>
    <w:rsid w:val="005A1CAA"/>
    <w:rsid w:val="005A2AFE"/>
    <w:rsid w:val="005A2FFF"/>
    <w:rsid w:val="005A4F67"/>
    <w:rsid w:val="005A5F97"/>
    <w:rsid w:val="005A6434"/>
    <w:rsid w:val="005A6818"/>
    <w:rsid w:val="005A727B"/>
    <w:rsid w:val="005B049B"/>
    <w:rsid w:val="005B2BD5"/>
    <w:rsid w:val="005B2E17"/>
    <w:rsid w:val="005B358A"/>
    <w:rsid w:val="005B37FB"/>
    <w:rsid w:val="005B40DA"/>
    <w:rsid w:val="005B525F"/>
    <w:rsid w:val="005B6376"/>
    <w:rsid w:val="005C1E8F"/>
    <w:rsid w:val="005C2729"/>
    <w:rsid w:val="005C3588"/>
    <w:rsid w:val="005C5D58"/>
    <w:rsid w:val="005C7104"/>
    <w:rsid w:val="005C7F8D"/>
    <w:rsid w:val="005D0296"/>
    <w:rsid w:val="005D088D"/>
    <w:rsid w:val="005D2E2E"/>
    <w:rsid w:val="005D320A"/>
    <w:rsid w:val="005D3C89"/>
    <w:rsid w:val="005D50FE"/>
    <w:rsid w:val="005D6096"/>
    <w:rsid w:val="005D6494"/>
    <w:rsid w:val="005D7120"/>
    <w:rsid w:val="005E0955"/>
    <w:rsid w:val="005E0C66"/>
    <w:rsid w:val="005E15FA"/>
    <w:rsid w:val="005E2622"/>
    <w:rsid w:val="005E2FA0"/>
    <w:rsid w:val="005E348B"/>
    <w:rsid w:val="005E5CC4"/>
    <w:rsid w:val="005E62E8"/>
    <w:rsid w:val="005E7BE2"/>
    <w:rsid w:val="005F2229"/>
    <w:rsid w:val="005F23C4"/>
    <w:rsid w:val="005F29F7"/>
    <w:rsid w:val="005F3150"/>
    <w:rsid w:val="005F4D8F"/>
    <w:rsid w:val="005F596B"/>
    <w:rsid w:val="005F5AC7"/>
    <w:rsid w:val="00600EC6"/>
    <w:rsid w:val="0060137E"/>
    <w:rsid w:val="00601A41"/>
    <w:rsid w:val="00601B5F"/>
    <w:rsid w:val="006037DF"/>
    <w:rsid w:val="00603E57"/>
    <w:rsid w:val="00604368"/>
    <w:rsid w:val="00604A77"/>
    <w:rsid w:val="00607026"/>
    <w:rsid w:val="0061053C"/>
    <w:rsid w:val="00611005"/>
    <w:rsid w:val="006129EB"/>
    <w:rsid w:val="00613DF6"/>
    <w:rsid w:val="0061439D"/>
    <w:rsid w:val="0061576E"/>
    <w:rsid w:val="0061594A"/>
    <w:rsid w:val="00616363"/>
    <w:rsid w:val="00616FB9"/>
    <w:rsid w:val="006200AB"/>
    <w:rsid w:val="006208FB"/>
    <w:rsid w:val="00621854"/>
    <w:rsid w:val="00623BCC"/>
    <w:rsid w:val="00624533"/>
    <w:rsid w:val="00626259"/>
    <w:rsid w:val="00626AD0"/>
    <w:rsid w:val="00626B59"/>
    <w:rsid w:val="00627036"/>
    <w:rsid w:val="00627383"/>
    <w:rsid w:val="006275C2"/>
    <w:rsid w:val="00627A18"/>
    <w:rsid w:val="006313A0"/>
    <w:rsid w:val="006322BD"/>
    <w:rsid w:val="00632913"/>
    <w:rsid w:val="00632D89"/>
    <w:rsid w:val="00633481"/>
    <w:rsid w:val="00633BEC"/>
    <w:rsid w:val="006364D5"/>
    <w:rsid w:val="0063709E"/>
    <w:rsid w:val="006370D8"/>
    <w:rsid w:val="0064035E"/>
    <w:rsid w:val="006403D5"/>
    <w:rsid w:val="00642C2D"/>
    <w:rsid w:val="00643E97"/>
    <w:rsid w:val="006460CE"/>
    <w:rsid w:val="00647EC0"/>
    <w:rsid w:val="00651935"/>
    <w:rsid w:val="006531B3"/>
    <w:rsid w:val="006535C8"/>
    <w:rsid w:val="00654D63"/>
    <w:rsid w:val="006559F3"/>
    <w:rsid w:val="00655C93"/>
    <w:rsid w:val="00656DF0"/>
    <w:rsid w:val="00657416"/>
    <w:rsid w:val="006574DE"/>
    <w:rsid w:val="00657661"/>
    <w:rsid w:val="00660998"/>
    <w:rsid w:val="00660CAF"/>
    <w:rsid w:val="00660F7B"/>
    <w:rsid w:val="00661460"/>
    <w:rsid w:val="00662A24"/>
    <w:rsid w:val="00663F7F"/>
    <w:rsid w:val="00664303"/>
    <w:rsid w:val="00664B55"/>
    <w:rsid w:val="006655F7"/>
    <w:rsid w:val="00670466"/>
    <w:rsid w:val="006708DF"/>
    <w:rsid w:val="00670E85"/>
    <w:rsid w:val="00671046"/>
    <w:rsid w:val="00671912"/>
    <w:rsid w:val="006720F1"/>
    <w:rsid w:val="00673DE9"/>
    <w:rsid w:val="00673E6E"/>
    <w:rsid w:val="00677269"/>
    <w:rsid w:val="0068052B"/>
    <w:rsid w:val="006814F5"/>
    <w:rsid w:val="00683278"/>
    <w:rsid w:val="00683A00"/>
    <w:rsid w:val="00685ABF"/>
    <w:rsid w:val="006865BA"/>
    <w:rsid w:val="00686CB2"/>
    <w:rsid w:val="00690075"/>
    <w:rsid w:val="006906D2"/>
    <w:rsid w:val="00691DF1"/>
    <w:rsid w:val="00693E42"/>
    <w:rsid w:val="00696E58"/>
    <w:rsid w:val="00697347"/>
    <w:rsid w:val="006A105F"/>
    <w:rsid w:val="006A11FB"/>
    <w:rsid w:val="006A136F"/>
    <w:rsid w:val="006A14CD"/>
    <w:rsid w:val="006A16CB"/>
    <w:rsid w:val="006A1B38"/>
    <w:rsid w:val="006A242E"/>
    <w:rsid w:val="006A4444"/>
    <w:rsid w:val="006A46E6"/>
    <w:rsid w:val="006A4A9F"/>
    <w:rsid w:val="006A5869"/>
    <w:rsid w:val="006A6C49"/>
    <w:rsid w:val="006A7F2D"/>
    <w:rsid w:val="006B0869"/>
    <w:rsid w:val="006B0E43"/>
    <w:rsid w:val="006B1201"/>
    <w:rsid w:val="006B24E6"/>
    <w:rsid w:val="006B2953"/>
    <w:rsid w:val="006B3176"/>
    <w:rsid w:val="006B33F3"/>
    <w:rsid w:val="006B3630"/>
    <w:rsid w:val="006B384F"/>
    <w:rsid w:val="006B3CBD"/>
    <w:rsid w:val="006B4FE6"/>
    <w:rsid w:val="006B5153"/>
    <w:rsid w:val="006B6AA5"/>
    <w:rsid w:val="006B6F5E"/>
    <w:rsid w:val="006B73AA"/>
    <w:rsid w:val="006B7BC2"/>
    <w:rsid w:val="006B7EE3"/>
    <w:rsid w:val="006B7F19"/>
    <w:rsid w:val="006C00A2"/>
    <w:rsid w:val="006C112F"/>
    <w:rsid w:val="006C2509"/>
    <w:rsid w:val="006C4D2A"/>
    <w:rsid w:val="006C4FCB"/>
    <w:rsid w:val="006C56AD"/>
    <w:rsid w:val="006C5C54"/>
    <w:rsid w:val="006C7F24"/>
    <w:rsid w:val="006D00F5"/>
    <w:rsid w:val="006D033A"/>
    <w:rsid w:val="006D050C"/>
    <w:rsid w:val="006D1E46"/>
    <w:rsid w:val="006D21C9"/>
    <w:rsid w:val="006D2A55"/>
    <w:rsid w:val="006D34A7"/>
    <w:rsid w:val="006D40F7"/>
    <w:rsid w:val="006D45A5"/>
    <w:rsid w:val="006D5364"/>
    <w:rsid w:val="006D53F8"/>
    <w:rsid w:val="006D68B7"/>
    <w:rsid w:val="006D7012"/>
    <w:rsid w:val="006D7348"/>
    <w:rsid w:val="006D7A42"/>
    <w:rsid w:val="006E0E4C"/>
    <w:rsid w:val="006E0FA3"/>
    <w:rsid w:val="006E3661"/>
    <w:rsid w:val="006E384F"/>
    <w:rsid w:val="006E4AA2"/>
    <w:rsid w:val="006E4AED"/>
    <w:rsid w:val="006E5B36"/>
    <w:rsid w:val="006E7559"/>
    <w:rsid w:val="006F19B9"/>
    <w:rsid w:val="006F1BAF"/>
    <w:rsid w:val="006F3A2E"/>
    <w:rsid w:val="006F4238"/>
    <w:rsid w:val="006F4D08"/>
    <w:rsid w:val="006F4ECA"/>
    <w:rsid w:val="007004FE"/>
    <w:rsid w:val="007008D4"/>
    <w:rsid w:val="00700CAE"/>
    <w:rsid w:val="00703187"/>
    <w:rsid w:val="00703447"/>
    <w:rsid w:val="007037F8"/>
    <w:rsid w:val="00705B8E"/>
    <w:rsid w:val="0070759F"/>
    <w:rsid w:val="00707B17"/>
    <w:rsid w:val="00710CFB"/>
    <w:rsid w:val="007122FD"/>
    <w:rsid w:val="00713AA6"/>
    <w:rsid w:val="007156B0"/>
    <w:rsid w:val="00715F64"/>
    <w:rsid w:val="00716459"/>
    <w:rsid w:val="00717E08"/>
    <w:rsid w:val="0072056B"/>
    <w:rsid w:val="00720761"/>
    <w:rsid w:val="007220E7"/>
    <w:rsid w:val="00722384"/>
    <w:rsid w:val="007223A1"/>
    <w:rsid w:val="007223C1"/>
    <w:rsid w:val="007224E2"/>
    <w:rsid w:val="00723D36"/>
    <w:rsid w:val="00726515"/>
    <w:rsid w:val="007265C7"/>
    <w:rsid w:val="00727B1B"/>
    <w:rsid w:val="0073104C"/>
    <w:rsid w:val="007319FF"/>
    <w:rsid w:val="00732CD2"/>
    <w:rsid w:val="00732E0A"/>
    <w:rsid w:val="007334FD"/>
    <w:rsid w:val="007342AE"/>
    <w:rsid w:val="00734AAF"/>
    <w:rsid w:val="00735D79"/>
    <w:rsid w:val="0073612C"/>
    <w:rsid w:val="00741ADA"/>
    <w:rsid w:val="00741DA5"/>
    <w:rsid w:val="0074500D"/>
    <w:rsid w:val="0074556A"/>
    <w:rsid w:val="00745DFD"/>
    <w:rsid w:val="0075086F"/>
    <w:rsid w:val="007513E9"/>
    <w:rsid w:val="00751CD3"/>
    <w:rsid w:val="0075248C"/>
    <w:rsid w:val="0075443A"/>
    <w:rsid w:val="007557D9"/>
    <w:rsid w:val="00755DC4"/>
    <w:rsid w:val="00756FBF"/>
    <w:rsid w:val="00757B51"/>
    <w:rsid w:val="007604B0"/>
    <w:rsid w:val="00760A78"/>
    <w:rsid w:val="007614DD"/>
    <w:rsid w:val="00761701"/>
    <w:rsid w:val="007625B4"/>
    <w:rsid w:val="0076292B"/>
    <w:rsid w:val="00762F6E"/>
    <w:rsid w:val="007654BA"/>
    <w:rsid w:val="00765AA2"/>
    <w:rsid w:val="007674BB"/>
    <w:rsid w:val="00767C4E"/>
    <w:rsid w:val="00770110"/>
    <w:rsid w:val="007708ED"/>
    <w:rsid w:val="007735FA"/>
    <w:rsid w:val="007737E9"/>
    <w:rsid w:val="00773A42"/>
    <w:rsid w:val="007742B6"/>
    <w:rsid w:val="007747FD"/>
    <w:rsid w:val="00775482"/>
    <w:rsid w:val="00776E30"/>
    <w:rsid w:val="00776FC0"/>
    <w:rsid w:val="0077736F"/>
    <w:rsid w:val="007812FA"/>
    <w:rsid w:val="0078168E"/>
    <w:rsid w:val="00782908"/>
    <w:rsid w:val="007829AD"/>
    <w:rsid w:val="00782F08"/>
    <w:rsid w:val="00783535"/>
    <w:rsid w:val="00783B46"/>
    <w:rsid w:val="00785E06"/>
    <w:rsid w:val="007870E1"/>
    <w:rsid w:val="00790706"/>
    <w:rsid w:val="00791654"/>
    <w:rsid w:val="00794B03"/>
    <w:rsid w:val="0079528F"/>
    <w:rsid w:val="00796BC6"/>
    <w:rsid w:val="00796C81"/>
    <w:rsid w:val="007A1DE0"/>
    <w:rsid w:val="007A4407"/>
    <w:rsid w:val="007A54EE"/>
    <w:rsid w:val="007A6889"/>
    <w:rsid w:val="007B279A"/>
    <w:rsid w:val="007B3845"/>
    <w:rsid w:val="007B3CB8"/>
    <w:rsid w:val="007B40E7"/>
    <w:rsid w:val="007B4F85"/>
    <w:rsid w:val="007B52CF"/>
    <w:rsid w:val="007B61F1"/>
    <w:rsid w:val="007B6E17"/>
    <w:rsid w:val="007B74DB"/>
    <w:rsid w:val="007B7789"/>
    <w:rsid w:val="007B7F42"/>
    <w:rsid w:val="007C03A1"/>
    <w:rsid w:val="007C08C9"/>
    <w:rsid w:val="007C0C02"/>
    <w:rsid w:val="007C3870"/>
    <w:rsid w:val="007C4599"/>
    <w:rsid w:val="007C45E3"/>
    <w:rsid w:val="007C4D88"/>
    <w:rsid w:val="007C7E02"/>
    <w:rsid w:val="007D0176"/>
    <w:rsid w:val="007D01A8"/>
    <w:rsid w:val="007D03C8"/>
    <w:rsid w:val="007D0463"/>
    <w:rsid w:val="007D08DF"/>
    <w:rsid w:val="007D1232"/>
    <w:rsid w:val="007D185C"/>
    <w:rsid w:val="007D23C9"/>
    <w:rsid w:val="007D3FEE"/>
    <w:rsid w:val="007D4602"/>
    <w:rsid w:val="007D504A"/>
    <w:rsid w:val="007D5252"/>
    <w:rsid w:val="007D601C"/>
    <w:rsid w:val="007D6DAB"/>
    <w:rsid w:val="007D7513"/>
    <w:rsid w:val="007E0D86"/>
    <w:rsid w:val="007E0E92"/>
    <w:rsid w:val="007E1606"/>
    <w:rsid w:val="007E1C00"/>
    <w:rsid w:val="007E1FB2"/>
    <w:rsid w:val="007E201A"/>
    <w:rsid w:val="007E311A"/>
    <w:rsid w:val="007E4A46"/>
    <w:rsid w:val="007E5A0B"/>
    <w:rsid w:val="007E5F85"/>
    <w:rsid w:val="007E6AE5"/>
    <w:rsid w:val="007E79E4"/>
    <w:rsid w:val="007F0F4A"/>
    <w:rsid w:val="007F2398"/>
    <w:rsid w:val="007F3041"/>
    <w:rsid w:val="007F3F65"/>
    <w:rsid w:val="007F44F7"/>
    <w:rsid w:val="007F4951"/>
    <w:rsid w:val="007F543F"/>
    <w:rsid w:val="00800268"/>
    <w:rsid w:val="00800D1F"/>
    <w:rsid w:val="00801362"/>
    <w:rsid w:val="00802112"/>
    <w:rsid w:val="00802C33"/>
    <w:rsid w:val="00802EA2"/>
    <w:rsid w:val="0080413C"/>
    <w:rsid w:val="00804BC1"/>
    <w:rsid w:val="00804C1E"/>
    <w:rsid w:val="00804DDC"/>
    <w:rsid w:val="00804E6E"/>
    <w:rsid w:val="00806217"/>
    <w:rsid w:val="00806A0C"/>
    <w:rsid w:val="00806DEB"/>
    <w:rsid w:val="008077D2"/>
    <w:rsid w:val="00807E3E"/>
    <w:rsid w:val="0081222D"/>
    <w:rsid w:val="008145F0"/>
    <w:rsid w:val="00815061"/>
    <w:rsid w:val="00815D62"/>
    <w:rsid w:val="00816269"/>
    <w:rsid w:val="00817545"/>
    <w:rsid w:val="008176F4"/>
    <w:rsid w:val="00817E53"/>
    <w:rsid w:val="00825A0A"/>
    <w:rsid w:val="00827A0C"/>
    <w:rsid w:val="00831070"/>
    <w:rsid w:val="00832454"/>
    <w:rsid w:val="00832B6A"/>
    <w:rsid w:val="00835E22"/>
    <w:rsid w:val="008360AA"/>
    <w:rsid w:val="00836AB1"/>
    <w:rsid w:val="00837724"/>
    <w:rsid w:val="008379B1"/>
    <w:rsid w:val="00837A61"/>
    <w:rsid w:val="00837E8A"/>
    <w:rsid w:val="0084048A"/>
    <w:rsid w:val="00843BA6"/>
    <w:rsid w:val="0084477E"/>
    <w:rsid w:val="00844CFF"/>
    <w:rsid w:val="008451B0"/>
    <w:rsid w:val="008456A9"/>
    <w:rsid w:val="008461C6"/>
    <w:rsid w:val="0085050A"/>
    <w:rsid w:val="00850A65"/>
    <w:rsid w:val="0085255A"/>
    <w:rsid w:val="00854E99"/>
    <w:rsid w:val="00855E52"/>
    <w:rsid w:val="00856845"/>
    <w:rsid w:val="0085725A"/>
    <w:rsid w:val="008572A8"/>
    <w:rsid w:val="008578C8"/>
    <w:rsid w:val="00857B35"/>
    <w:rsid w:val="0086003E"/>
    <w:rsid w:val="00860196"/>
    <w:rsid w:val="00862211"/>
    <w:rsid w:val="0086394F"/>
    <w:rsid w:val="00863BC6"/>
    <w:rsid w:val="00865CFA"/>
    <w:rsid w:val="0087103B"/>
    <w:rsid w:val="00871E6F"/>
    <w:rsid w:val="00875DFE"/>
    <w:rsid w:val="008761C3"/>
    <w:rsid w:val="008772AB"/>
    <w:rsid w:val="00880B32"/>
    <w:rsid w:val="0088182D"/>
    <w:rsid w:val="008836CB"/>
    <w:rsid w:val="00884777"/>
    <w:rsid w:val="00884D15"/>
    <w:rsid w:val="00885856"/>
    <w:rsid w:val="00887765"/>
    <w:rsid w:val="008907FC"/>
    <w:rsid w:val="00890AD7"/>
    <w:rsid w:val="00893172"/>
    <w:rsid w:val="008931DD"/>
    <w:rsid w:val="00893C9F"/>
    <w:rsid w:val="00894FC5"/>
    <w:rsid w:val="00895E34"/>
    <w:rsid w:val="008964CF"/>
    <w:rsid w:val="00896C3B"/>
    <w:rsid w:val="00897198"/>
    <w:rsid w:val="008A179F"/>
    <w:rsid w:val="008A17B1"/>
    <w:rsid w:val="008A23B4"/>
    <w:rsid w:val="008A29BE"/>
    <w:rsid w:val="008A2A41"/>
    <w:rsid w:val="008A2DF5"/>
    <w:rsid w:val="008A3540"/>
    <w:rsid w:val="008A4BFA"/>
    <w:rsid w:val="008A4ED9"/>
    <w:rsid w:val="008A4F8E"/>
    <w:rsid w:val="008B23FE"/>
    <w:rsid w:val="008B2813"/>
    <w:rsid w:val="008B3A5E"/>
    <w:rsid w:val="008B409E"/>
    <w:rsid w:val="008B498B"/>
    <w:rsid w:val="008B4AE0"/>
    <w:rsid w:val="008B4C21"/>
    <w:rsid w:val="008B5033"/>
    <w:rsid w:val="008B74DB"/>
    <w:rsid w:val="008B7D04"/>
    <w:rsid w:val="008C29B5"/>
    <w:rsid w:val="008C2A78"/>
    <w:rsid w:val="008C2C79"/>
    <w:rsid w:val="008C2F9C"/>
    <w:rsid w:val="008C31E0"/>
    <w:rsid w:val="008C3848"/>
    <w:rsid w:val="008C49AA"/>
    <w:rsid w:val="008C53A9"/>
    <w:rsid w:val="008C741B"/>
    <w:rsid w:val="008D0384"/>
    <w:rsid w:val="008D0FB8"/>
    <w:rsid w:val="008D224C"/>
    <w:rsid w:val="008D39BD"/>
    <w:rsid w:val="008D3A05"/>
    <w:rsid w:val="008D5BA8"/>
    <w:rsid w:val="008D63AF"/>
    <w:rsid w:val="008D6A5A"/>
    <w:rsid w:val="008E0036"/>
    <w:rsid w:val="008E02B2"/>
    <w:rsid w:val="008E058A"/>
    <w:rsid w:val="008E0BE6"/>
    <w:rsid w:val="008E0CB6"/>
    <w:rsid w:val="008E2220"/>
    <w:rsid w:val="008E268C"/>
    <w:rsid w:val="008E3B6A"/>
    <w:rsid w:val="008E4B91"/>
    <w:rsid w:val="008E6F5F"/>
    <w:rsid w:val="008E6FAB"/>
    <w:rsid w:val="008E762C"/>
    <w:rsid w:val="008F0B6F"/>
    <w:rsid w:val="008F0C0B"/>
    <w:rsid w:val="008F224C"/>
    <w:rsid w:val="008F24EA"/>
    <w:rsid w:val="008F265B"/>
    <w:rsid w:val="008F28A4"/>
    <w:rsid w:val="008F2C91"/>
    <w:rsid w:val="008F3871"/>
    <w:rsid w:val="008F6A39"/>
    <w:rsid w:val="008F6AA4"/>
    <w:rsid w:val="008F75CA"/>
    <w:rsid w:val="008F7980"/>
    <w:rsid w:val="008F7B58"/>
    <w:rsid w:val="00900160"/>
    <w:rsid w:val="00901471"/>
    <w:rsid w:val="009019F6"/>
    <w:rsid w:val="009033FE"/>
    <w:rsid w:val="00903DDB"/>
    <w:rsid w:val="009054E8"/>
    <w:rsid w:val="00905974"/>
    <w:rsid w:val="00907119"/>
    <w:rsid w:val="00907296"/>
    <w:rsid w:val="0091043D"/>
    <w:rsid w:val="009113AA"/>
    <w:rsid w:val="0091279D"/>
    <w:rsid w:val="00912FE8"/>
    <w:rsid w:val="009147EC"/>
    <w:rsid w:val="00915460"/>
    <w:rsid w:val="00915463"/>
    <w:rsid w:val="009154FC"/>
    <w:rsid w:val="009156AA"/>
    <w:rsid w:val="00915B48"/>
    <w:rsid w:val="009168CB"/>
    <w:rsid w:val="009174AE"/>
    <w:rsid w:val="0091787A"/>
    <w:rsid w:val="00920580"/>
    <w:rsid w:val="0092083E"/>
    <w:rsid w:val="00920A26"/>
    <w:rsid w:val="009232CF"/>
    <w:rsid w:val="00924A8E"/>
    <w:rsid w:val="0092585C"/>
    <w:rsid w:val="00926A24"/>
    <w:rsid w:val="00930110"/>
    <w:rsid w:val="009310A4"/>
    <w:rsid w:val="00931821"/>
    <w:rsid w:val="00932884"/>
    <w:rsid w:val="00932EFB"/>
    <w:rsid w:val="0093387D"/>
    <w:rsid w:val="00933F87"/>
    <w:rsid w:val="00934B25"/>
    <w:rsid w:val="00934FF6"/>
    <w:rsid w:val="009360FD"/>
    <w:rsid w:val="00937352"/>
    <w:rsid w:val="00940FB2"/>
    <w:rsid w:val="009412F5"/>
    <w:rsid w:val="00941B08"/>
    <w:rsid w:val="00941BF5"/>
    <w:rsid w:val="00941CFB"/>
    <w:rsid w:val="00944002"/>
    <w:rsid w:val="009442C1"/>
    <w:rsid w:val="00945826"/>
    <w:rsid w:val="009464BA"/>
    <w:rsid w:val="0094660C"/>
    <w:rsid w:val="00946911"/>
    <w:rsid w:val="00947852"/>
    <w:rsid w:val="0095068C"/>
    <w:rsid w:val="00950B39"/>
    <w:rsid w:val="009518FF"/>
    <w:rsid w:val="009524C5"/>
    <w:rsid w:val="00952D5D"/>
    <w:rsid w:val="009534DA"/>
    <w:rsid w:val="00953985"/>
    <w:rsid w:val="009539FB"/>
    <w:rsid w:val="00954110"/>
    <w:rsid w:val="009553BC"/>
    <w:rsid w:val="00955A03"/>
    <w:rsid w:val="00956177"/>
    <w:rsid w:val="009577D2"/>
    <w:rsid w:val="00960311"/>
    <w:rsid w:val="00960FB0"/>
    <w:rsid w:val="0096136E"/>
    <w:rsid w:val="00961DFF"/>
    <w:rsid w:val="009623EC"/>
    <w:rsid w:val="00963D52"/>
    <w:rsid w:val="00964917"/>
    <w:rsid w:val="00966A95"/>
    <w:rsid w:val="00966FB2"/>
    <w:rsid w:val="00967702"/>
    <w:rsid w:val="00970458"/>
    <w:rsid w:val="009707DB"/>
    <w:rsid w:val="00970B8B"/>
    <w:rsid w:val="009710EB"/>
    <w:rsid w:val="009713AC"/>
    <w:rsid w:val="00971B02"/>
    <w:rsid w:val="00972D12"/>
    <w:rsid w:val="0097452D"/>
    <w:rsid w:val="00974984"/>
    <w:rsid w:val="00975B96"/>
    <w:rsid w:val="009815D1"/>
    <w:rsid w:val="00982925"/>
    <w:rsid w:val="00982B14"/>
    <w:rsid w:val="00982E51"/>
    <w:rsid w:val="00983D43"/>
    <w:rsid w:val="0098400A"/>
    <w:rsid w:val="00984D5A"/>
    <w:rsid w:val="0098660D"/>
    <w:rsid w:val="00986888"/>
    <w:rsid w:val="0098781E"/>
    <w:rsid w:val="00990395"/>
    <w:rsid w:val="009913F4"/>
    <w:rsid w:val="00991A7D"/>
    <w:rsid w:val="00992049"/>
    <w:rsid w:val="00992D3F"/>
    <w:rsid w:val="00993919"/>
    <w:rsid w:val="00993EA1"/>
    <w:rsid w:val="00995322"/>
    <w:rsid w:val="009953D0"/>
    <w:rsid w:val="00995C3A"/>
    <w:rsid w:val="009A0178"/>
    <w:rsid w:val="009A0F96"/>
    <w:rsid w:val="009A10C0"/>
    <w:rsid w:val="009A10D8"/>
    <w:rsid w:val="009A1B8E"/>
    <w:rsid w:val="009A20CF"/>
    <w:rsid w:val="009A278C"/>
    <w:rsid w:val="009A30A6"/>
    <w:rsid w:val="009A3317"/>
    <w:rsid w:val="009A337A"/>
    <w:rsid w:val="009A431E"/>
    <w:rsid w:val="009A5041"/>
    <w:rsid w:val="009A7DCA"/>
    <w:rsid w:val="009B0335"/>
    <w:rsid w:val="009B0FF9"/>
    <w:rsid w:val="009B2CD8"/>
    <w:rsid w:val="009B39B5"/>
    <w:rsid w:val="009B3A03"/>
    <w:rsid w:val="009B3E45"/>
    <w:rsid w:val="009B42D3"/>
    <w:rsid w:val="009B48A3"/>
    <w:rsid w:val="009B5B6A"/>
    <w:rsid w:val="009B6B15"/>
    <w:rsid w:val="009B77AE"/>
    <w:rsid w:val="009C0AE6"/>
    <w:rsid w:val="009C1A1F"/>
    <w:rsid w:val="009C2A57"/>
    <w:rsid w:val="009C5A53"/>
    <w:rsid w:val="009C68B5"/>
    <w:rsid w:val="009C6EE3"/>
    <w:rsid w:val="009C794C"/>
    <w:rsid w:val="009D2383"/>
    <w:rsid w:val="009D3488"/>
    <w:rsid w:val="009D4140"/>
    <w:rsid w:val="009D4313"/>
    <w:rsid w:val="009D4763"/>
    <w:rsid w:val="009D69F8"/>
    <w:rsid w:val="009E00B3"/>
    <w:rsid w:val="009E159E"/>
    <w:rsid w:val="009E1B84"/>
    <w:rsid w:val="009E2866"/>
    <w:rsid w:val="009E2B22"/>
    <w:rsid w:val="009E2EF9"/>
    <w:rsid w:val="009E3CD1"/>
    <w:rsid w:val="009E46EA"/>
    <w:rsid w:val="009E4F1A"/>
    <w:rsid w:val="009E53C0"/>
    <w:rsid w:val="009E5FFB"/>
    <w:rsid w:val="009E6299"/>
    <w:rsid w:val="009E62B7"/>
    <w:rsid w:val="009E665A"/>
    <w:rsid w:val="009E7ED6"/>
    <w:rsid w:val="009F0DB3"/>
    <w:rsid w:val="009F266A"/>
    <w:rsid w:val="009F29BC"/>
    <w:rsid w:val="009F3C03"/>
    <w:rsid w:val="009F3DFB"/>
    <w:rsid w:val="009F431A"/>
    <w:rsid w:val="009F4337"/>
    <w:rsid w:val="009F4723"/>
    <w:rsid w:val="009F544F"/>
    <w:rsid w:val="009F57E4"/>
    <w:rsid w:val="009F5D24"/>
    <w:rsid w:val="009F6984"/>
    <w:rsid w:val="009F71E0"/>
    <w:rsid w:val="009F782F"/>
    <w:rsid w:val="00A00D7F"/>
    <w:rsid w:val="00A0148C"/>
    <w:rsid w:val="00A0223C"/>
    <w:rsid w:val="00A024A9"/>
    <w:rsid w:val="00A03B2B"/>
    <w:rsid w:val="00A0401A"/>
    <w:rsid w:val="00A05B10"/>
    <w:rsid w:val="00A06A89"/>
    <w:rsid w:val="00A06F0D"/>
    <w:rsid w:val="00A07ABB"/>
    <w:rsid w:val="00A07F25"/>
    <w:rsid w:val="00A105F3"/>
    <w:rsid w:val="00A14953"/>
    <w:rsid w:val="00A14A44"/>
    <w:rsid w:val="00A14B91"/>
    <w:rsid w:val="00A15233"/>
    <w:rsid w:val="00A176FE"/>
    <w:rsid w:val="00A20591"/>
    <w:rsid w:val="00A20EBF"/>
    <w:rsid w:val="00A22E30"/>
    <w:rsid w:val="00A22EFB"/>
    <w:rsid w:val="00A238B9"/>
    <w:rsid w:val="00A243F1"/>
    <w:rsid w:val="00A24BB2"/>
    <w:rsid w:val="00A26B26"/>
    <w:rsid w:val="00A30180"/>
    <w:rsid w:val="00A33D2A"/>
    <w:rsid w:val="00A33DE9"/>
    <w:rsid w:val="00A34440"/>
    <w:rsid w:val="00A3599F"/>
    <w:rsid w:val="00A37BCC"/>
    <w:rsid w:val="00A37CC1"/>
    <w:rsid w:val="00A4154D"/>
    <w:rsid w:val="00A41BC1"/>
    <w:rsid w:val="00A42D1C"/>
    <w:rsid w:val="00A44021"/>
    <w:rsid w:val="00A44E63"/>
    <w:rsid w:val="00A50537"/>
    <w:rsid w:val="00A508DE"/>
    <w:rsid w:val="00A50AE3"/>
    <w:rsid w:val="00A52EB9"/>
    <w:rsid w:val="00A541A6"/>
    <w:rsid w:val="00A541BB"/>
    <w:rsid w:val="00A54957"/>
    <w:rsid w:val="00A54C66"/>
    <w:rsid w:val="00A5677B"/>
    <w:rsid w:val="00A56949"/>
    <w:rsid w:val="00A56A08"/>
    <w:rsid w:val="00A579A9"/>
    <w:rsid w:val="00A6069C"/>
    <w:rsid w:val="00A626B7"/>
    <w:rsid w:val="00A62CB1"/>
    <w:rsid w:val="00A6352F"/>
    <w:rsid w:val="00A637AD"/>
    <w:rsid w:val="00A64900"/>
    <w:rsid w:val="00A66153"/>
    <w:rsid w:val="00A66248"/>
    <w:rsid w:val="00A66485"/>
    <w:rsid w:val="00A67D53"/>
    <w:rsid w:val="00A7035F"/>
    <w:rsid w:val="00A70729"/>
    <w:rsid w:val="00A7135E"/>
    <w:rsid w:val="00A71749"/>
    <w:rsid w:val="00A71B86"/>
    <w:rsid w:val="00A724C4"/>
    <w:rsid w:val="00A72F20"/>
    <w:rsid w:val="00A77EE4"/>
    <w:rsid w:val="00A80B9B"/>
    <w:rsid w:val="00A80CBB"/>
    <w:rsid w:val="00A80F45"/>
    <w:rsid w:val="00A819AB"/>
    <w:rsid w:val="00A821AC"/>
    <w:rsid w:val="00A827A0"/>
    <w:rsid w:val="00A82C44"/>
    <w:rsid w:val="00A848E5"/>
    <w:rsid w:val="00A8547D"/>
    <w:rsid w:val="00A863C8"/>
    <w:rsid w:val="00A878B0"/>
    <w:rsid w:val="00A87D6A"/>
    <w:rsid w:val="00A87FAB"/>
    <w:rsid w:val="00A91141"/>
    <w:rsid w:val="00A9191B"/>
    <w:rsid w:val="00A92BED"/>
    <w:rsid w:val="00A933FA"/>
    <w:rsid w:val="00A9480C"/>
    <w:rsid w:val="00A94C61"/>
    <w:rsid w:val="00A94CBD"/>
    <w:rsid w:val="00A94F5B"/>
    <w:rsid w:val="00A957B5"/>
    <w:rsid w:val="00A958A5"/>
    <w:rsid w:val="00A95F1F"/>
    <w:rsid w:val="00A96817"/>
    <w:rsid w:val="00A96F84"/>
    <w:rsid w:val="00AA1480"/>
    <w:rsid w:val="00AA190A"/>
    <w:rsid w:val="00AA2586"/>
    <w:rsid w:val="00AA265A"/>
    <w:rsid w:val="00AA28AC"/>
    <w:rsid w:val="00AA3D71"/>
    <w:rsid w:val="00AA3EEC"/>
    <w:rsid w:val="00AA4336"/>
    <w:rsid w:val="00AA5628"/>
    <w:rsid w:val="00AA5838"/>
    <w:rsid w:val="00AB0174"/>
    <w:rsid w:val="00AB0189"/>
    <w:rsid w:val="00AB0AF3"/>
    <w:rsid w:val="00AB1835"/>
    <w:rsid w:val="00AB2293"/>
    <w:rsid w:val="00AB2FB0"/>
    <w:rsid w:val="00AB4201"/>
    <w:rsid w:val="00AB424C"/>
    <w:rsid w:val="00AB5266"/>
    <w:rsid w:val="00AB5303"/>
    <w:rsid w:val="00AB5525"/>
    <w:rsid w:val="00AB6FF7"/>
    <w:rsid w:val="00AB73D2"/>
    <w:rsid w:val="00AC12B5"/>
    <w:rsid w:val="00AC2F3C"/>
    <w:rsid w:val="00AC762E"/>
    <w:rsid w:val="00AC7FCB"/>
    <w:rsid w:val="00AD0399"/>
    <w:rsid w:val="00AD2D20"/>
    <w:rsid w:val="00AD2ED3"/>
    <w:rsid w:val="00AD42A0"/>
    <w:rsid w:val="00AD4A5E"/>
    <w:rsid w:val="00AD66DE"/>
    <w:rsid w:val="00AD682E"/>
    <w:rsid w:val="00AE0539"/>
    <w:rsid w:val="00AE07CD"/>
    <w:rsid w:val="00AE0D9D"/>
    <w:rsid w:val="00AE2F6B"/>
    <w:rsid w:val="00AE3B3A"/>
    <w:rsid w:val="00AE3D31"/>
    <w:rsid w:val="00AE5015"/>
    <w:rsid w:val="00AE5E5C"/>
    <w:rsid w:val="00AE6041"/>
    <w:rsid w:val="00AE6B50"/>
    <w:rsid w:val="00AE74BC"/>
    <w:rsid w:val="00AF0DCC"/>
    <w:rsid w:val="00AF0ED0"/>
    <w:rsid w:val="00AF1846"/>
    <w:rsid w:val="00AF1984"/>
    <w:rsid w:val="00AF1D11"/>
    <w:rsid w:val="00AF2273"/>
    <w:rsid w:val="00AF2413"/>
    <w:rsid w:val="00AF2ED9"/>
    <w:rsid w:val="00AF2F2F"/>
    <w:rsid w:val="00AF2FDB"/>
    <w:rsid w:val="00AF3F31"/>
    <w:rsid w:val="00AF4452"/>
    <w:rsid w:val="00AF4459"/>
    <w:rsid w:val="00AF5F08"/>
    <w:rsid w:val="00AF6E05"/>
    <w:rsid w:val="00AF76AD"/>
    <w:rsid w:val="00AF7814"/>
    <w:rsid w:val="00B00AAE"/>
    <w:rsid w:val="00B01028"/>
    <w:rsid w:val="00B016B0"/>
    <w:rsid w:val="00B02986"/>
    <w:rsid w:val="00B03B5F"/>
    <w:rsid w:val="00B052A3"/>
    <w:rsid w:val="00B06E97"/>
    <w:rsid w:val="00B10369"/>
    <w:rsid w:val="00B129F8"/>
    <w:rsid w:val="00B13BA7"/>
    <w:rsid w:val="00B14491"/>
    <w:rsid w:val="00B149BE"/>
    <w:rsid w:val="00B15F11"/>
    <w:rsid w:val="00B1629D"/>
    <w:rsid w:val="00B176A6"/>
    <w:rsid w:val="00B17DA3"/>
    <w:rsid w:val="00B20822"/>
    <w:rsid w:val="00B2095D"/>
    <w:rsid w:val="00B20C8E"/>
    <w:rsid w:val="00B20D5F"/>
    <w:rsid w:val="00B21ACE"/>
    <w:rsid w:val="00B243A5"/>
    <w:rsid w:val="00B30E56"/>
    <w:rsid w:val="00B31A00"/>
    <w:rsid w:val="00B32F76"/>
    <w:rsid w:val="00B33655"/>
    <w:rsid w:val="00B34AAC"/>
    <w:rsid w:val="00B376A9"/>
    <w:rsid w:val="00B40B08"/>
    <w:rsid w:val="00B40D95"/>
    <w:rsid w:val="00B42FBD"/>
    <w:rsid w:val="00B46AEA"/>
    <w:rsid w:val="00B46B1D"/>
    <w:rsid w:val="00B476E3"/>
    <w:rsid w:val="00B47702"/>
    <w:rsid w:val="00B47E31"/>
    <w:rsid w:val="00B47EE4"/>
    <w:rsid w:val="00B50268"/>
    <w:rsid w:val="00B50298"/>
    <w:rsid w:val="00B507BD"/>
    <w:rsid w:val="00B50F78"/>
    <w:rsid w:val="00B53EE7"/>
    <w:rsid w:val="00B55469"/>
    <w:rsid w:val="00B56D9E"/>
    <w:rsid w:val="00B57AEB"/>
    <w:rsid w:val="00B57C6F"/>
    <w:rsid w:val="00B603CE"/>
    <w:rsid w:val="00B6045D"/>
    <w:rsid w:val="00B62225"/>
    <w:rsid w:val="00B62D05"/>
    <w:rsid w:val="00B64BC5"/>
    <w:rsid w:val="00B65438"/>
    <w:rsid w:val="00B720A1"/>
    <w:rsid w:val="00B72CA9"/>
    <w:rsid w:val="00B72E25"/>
    <w:rsid w:val="00B736FF"/>
    <w:rsid w:val="00B75340"/>
    <w:rsid w:val="00B75A9A"/>
    <w:rsid w:val="00B75C81"/>
    <w:rsid w:val="00B76254"/>
    <w:rsid w:val="00B77703"/>
    <w:rsid w:val="00B80213"/>
    <w:rsid w:val="00B805B9"/>
    <w:rsid w:val="00B81403"/>
    <w:rsid w:val="00B81FA5"/>
    <w:rsid w:val="00B82063"/>
    <w:rsid w:val="00B83C44"/>
    <w:rsid w:val="00B862C4"/>
    <w:rsid w:val="00B86605"/>
    <w:rsid w:val="00B87011"/>
    <w:rsid w:val="00B87452"/>
    <w:rsid w:val="00B90FD3"/>
    <w:rsid w:val="00B91ADD"/>
    <w:rsid w:val="00B91E41"/>
    <w:rsid w:val="00B9265B"/>
    <w:rsid w:val="00B92867"/>
    <w:rsid w:val="00B9294D"/>
    <w:rsid w:val="00B931AA"/>
    <w:rsid w:val="00B959FB"/>
    <w:rsid w:val="00B9641B"/>
    <w:rsid w:val="00B96F6E"/>
    <w:rsid w:val="00BA07F4"/>
    <w:rsid w:val="00BA1451"/>
    <w:rsid w:val="00BA4BBA"/>
    <w:rsid w:val="00BA5E00"/>
    <w:rsid w:val="00BA7A9C"/>
    <w:rsid w:val="00BA7BC1"/>
    <w:rsid w:val="00BB4027"/>
    <w:rsid w:val="00BB4526"/>
    <w:rsid w:val="00BB4587"/>
    <w:rsid w:val="00BB53F6"/>
    <w:rsid w:val="00BB5D8F"/>
    <w:rsid w:val="00BB711B"/>
    <w:rsid w:val="00BB7901"/>
    <w:rsid w:val="00BB7C33"/>
    <w:rsid w:val="00BC1811"/>
    <w:rsid w:val="00BC19B0"/>
    <w:rsid w:val="00BC1DA6"/>
    <w:rsid w:val="00BC36FF"/>
    <w:rsid w:val="00BC5458"/>
    <w:rsid w:val="00BC5A6F"/>
    <w:rsid w:val="00BC5BBD"/>
    <w:rsid w:val="00BC60A5"/>
    <w:rsid w:val="00BC6253"/>
    <w:rsid w:val="00BC6D26"/>
    <w:rsid w:val="00BC76DB"/>
    <w:rsid w:val="00BD1305"/>
    <w:rsid w:val="00BD17A3"/>
    <w:rsid w:val="00BD181E"/>
    <w:rsid w:val="00BD18DE"/>
    <w:rsid w:val="00BD331F"/>
    <w:rsid w:val="00BD5B8A"/>
    <w:rsid w:val="00BD5E1A"/>
    <w:rsid w:val="00BD6E93"/>
    <w:rsid w:val="00BE18F4"/>
    <w:rsid w:val="00BE278D"/>
    <w:rsid w:val="00BE35B1"/>
    <w:rsid w:val="00BE361B"/>
    <w:rsid w:val="00BE4693"/>
    <w:rsid w:val="00BE4768"/>
    <w:rsid w:val="00BE5FFB"/>
    <w:rsid w:val="00BF05F2"/>
    <w:rsid w:val="00BF12D3"/>
    <w:rsid w:val="00BF1E18"/>
    <w:rsid w:val="00BF28DE"/>
    <w:rsid w:val="00BF3135"/>
    <w:rsid w:val="00BF3942"/>
    <w:rsid w:val="00BF3D74"/>
    <w:rsid w:val="00BF4593"/>
    <w:rsid w:val="00BF4A77"/>
    <w:rsid w:val="00BF4B02"/>
    <w:rsid w:val="00BF516A"/>
    <w:rsid w:val="00BF6927"/>
    <w:rsid w:val="00C00BA9"/>
    <w:rsid w:val="00C00BCE"/>
    <w:rsid w:val="00C011F4"/>
    <w:rsid w:val="00C03AC5"/>
    <w:rsid w:val="00C04E94"/>
    <w:rsid w:val="00C04FA3"/>
    <w:rsid w:val="00C058B4"/>
    <w:rsid w:val="00C07877"/>
    <w:rsid w:val="00C12CCB"/>
    <w:rsid w:val="00C13F8D"/>
    <w:rsid w:val="00C146DE"/>
    <w:rsid w:val="00C15792"/>
    <w:rsid w:val="00C16422"/>
    <w:rsid w:val="00C17305"/>
    <w:rsid w:val="00C201BB"/>
    <w:rsid w:val="00C208B8"/>
    <w:rsid w:val="00C21296"/>
    <w:rsid w:val="00C213E2"/>
    <w:rsid w:val="00C219B1"/>
    <w:rsid w:val="00C2365C"/>
    <w:rsid w:val="00C243A8"/>
    <w:rsid w:val="00C258EF"/>
    <w:rsid w:val="00C25CE8"/>
    <w:rsid w:val="00C25F6D"/>
    <w:rsid w:val="00C266DA"/>
    <w:rsid w:val="00C27139"/>
    <w:rsid w:val="00C301E5"/>
    <w:rsid w:val="00C3188D"/>
    <w:rsid w:val="00C32420"/>
    <w:rsid w:val="00C33BB7"/>
    <w:rsid w:val="00C34A47"/>
    <w:rsid w:val="00C3540E"/>
    <w:rsid w:val="00C35E5C"/>
    <w:rsid w:val="00C37ABC"/>
    <w:rsid w:val="00C37C78"/>
    <w:rsid w:val="00C410EC"/>
    <w:rsid w:val="00C41452"/>
    <w:rsid w:val="00C42470"/>
    <w:rsid w:val="00C42C47"/>
    <w:rsid w:val="00C437EB"/>
    <w:rsid w:val="00C4437A"/>
    <w:rsid w:val="00C44C18"/>
    <w:rsid w:val="00C44E3E"/>
    <w:rsid w:val="00C44F7C"/>
    <w:rsid w:val="00C46307"/>
    <w:rsid w:val="00C46D4B"/>
    <w:rsid w:val="00C50FD3"/>
    <w:rsid w:val="00C514E1"/>
    <w:rsid w:val="00C51A94"/>
    <w:rsid w:val="00C51CF6"/>
    <w:rsid w:val="00C52917"/>
    <w:rsid w:val="00C52DFB"/>
    <w:rsid w:val="00C5412D"/>
    <w:rsid w:val="00C550D6"/>
    <w:rsid w:val="00C563AA"/>
    <w:rsid w:val="00C56D03"/>
    <w:rsid w:val="00C578CE"/>
    <w:rsid w:val="00C57E89"/>
    <w:rsid w:val="00C60AF4"/>
    <w:rsid w:val="00C61BE1"/>
    <w:rsid w:val="00C64E5F"/>
    <w:rsid w:val="00C6580C"/>
    <w:rsid w:val="00C70053"/>
    <w:rsid w:val="00C70213"/>
    <w:rsid w:val="00C7078F"/>
    <w:rsid w:val="00C711CD"/>
    <w:rsid w:val="00C71804"/>
    <w:rsid w:val="00C72DA5"/>
    <w:rsid w:val="00C72DDF"/>
    <w:rsid w:val="00C75413"/>
    <w:rsid w:val="00C7745B"/>
    <w:rsid w:val="00C82310"/>
    <w:rsid w:val="00C82B87"/>
    <w:rsid w:val="00C83577"/>
    <w:rsid w:val="00C83EA7"/>
    <w:rsid w:val="00C86561"/>
    <w:rsid w:val="00C86FA7"/>
    <w:rsid w:val="00C87741"/>
    <w:rsid w:val="00C9091F"/>
    <w:rsid w:val="00C921CC"/>
    <w:rsid w:val="00C9298B"/>
    <w:rsid w:val="00C92E22"/>
    <w:rsid w:val="00C92F24"/>
    <w:rsid w:val="00C938A5"/>
    <w:rsid w:val="00C94D54"/>
    <w:rsid w:val="00C96617"/>
    <w:rsid w:val="00C97250"/>
    <w:rsid w:val="00C97708"/>
    <w:rsid w:val="00C97925"/>
    <w:rsid w:val="00CA1717"/>
    <w:rsid w:val="00CA3F7B"/>
    <w:rsid w:val="00CA470C"/>
    <w:rsid w:val="00CA5144"/>
    <w:rsid w:val="00CA5244"/>
    <w:rsid w:val="00CA542A"/>
    <w:rsid w:val="00CA606F"/>
    <w:rsid w:val="00CA6AFE"/>
    <w:rsid w:val="00CA71BD"/>
    <w:rsid w:val="00CA7A85"/>
    <w:rsid w:val="00CB011A"/>
    <w:rsid w:val="00CB0BAC"/>
    <w:rsid w:val="00CB0F07"/>
    <w:rsid w:val="00CB1A94"/>
    <w:rsid w:val="00CB29EB"/>
    <w:rsid w:val="00CB3AE9"/>
    <w:rsid w:val="00CB76BB"/>
    <w:rsid w:val="00CC0967"/>
    <w:rsid w:val="00CC0E18"/>
    <w:rsid w:val="00CC2811"/>
    <w:rsid w:val="00CC2A5F"/>
    <w:rsid w:val="00CC3155"/>
    <w:rsid w:val="00CC35D7"/>
    <w:rsid w:val="00CC44C2"/>
    <w:rsid w:val="00CC4FB9"/>
    <w:rsid w:val="00CC5CD3"/>
    <w:rsid w:val="00CC6142"/>
    <w:rsid w:val="00CC66A2"/>
    <w:rsid w:val="00CC7942"/>
    <w:rsid w:val="00CC7A2F"/>
    <w:rsid w:val="00CD06C6"/>
    <w:rsid w:val="00CD116E"/>
    <w:rsid w:val="00CD33A9"/>
    <w:rsid w:val="00CD3B36"/>
    <w:rsid w:val="00CD4113"/>
    <w:rsid w:val="00CD48FE"/>
    <w:rsid w:val="00CD5C1F"/>
    <w:rsid w:val="00CD6B12"/>
    <w:rsid w:val="00CD6BF7"/>
    <w:rsid w:val="00CE1757"/>
    <w:rsid w:val="00CE1B43"/>
    <w:rsid w:val="00CE2048"/>
    <w:rsid w:val="00CE2D5B"/>
    <w:rsid w:val="00CE3F11"/>
    <w:rsid w:val="00CE3F69"/>
    <w:rsid w:val="00CE54F8"/>
    <w:rsid w:val="00CE79D1"/>
    <w:rsid w:val="00CF115A"/>
    <w:rsid w:val="00CF1802"/>
    <w:rsid w:val="00CF1FD8"/>
    <w:rsid w:val="00CF2A20"/>
    <w:rsid w:val="00CF3E90"/>
    <w:rsid w:val="00CF4163"/>
    <w:rsid w:val="00CF5343"/>
    <w:rsid w:val="00CF53AB"/>
    <w:rsid w:val="00CF7D52"/>
    <w:rsid w:val="00D00467"/>
    <w:rsid w:val="00D00F94"/>
    <w:rsid w:val="00D012B2"/>
    <w:rsid w:val="00D01428"/>
    <w:rsid w:val="00D01A43"/>
    <w:rsid w:val="00D020B8"/>
    <w:rsid w:val="00D02E50"/>
    <w:rsid w:val="00D03663"/>
    <w:rsid w:val="00D03FF1"/>
    <w:rsid w:val="00D041CB"/>
    <w:rsid w:val="00D04C1B"/>
    <w:rsid w:val="00D05144"/>
    <w:rsid w:val="00D0568A"/>
    <w:rsid w:val="00D0594E"/>
    <w:rsid w:val="00D05F19"/>
    <w:rsid w:val="00D06508"/>
    <w:rsid w:val="00D0703B"/>
    <w:rsid w:val="00D12553"/>
    <w:rsid w:val="00D12C87"/>
    <w:rsid w:val="00D13226"/>
    <w:rsid w:val="00D13741"/>
    <w:rsid w:val="00D13F80"/>
    <w:rsid w:val="00D1651E"/>
    <w:rsid w:val="00D16A37"/>
    <w:rsid w:val="00D16CB4"/>
    <w:rsid w:val="00D206BA"/>
    <w:rsid w:val="00D21069"/>
    <w:rsid w:val="00D211AC"/>
    <w:rsid w:val="00D21EF8"/>
    <w:rsid w:val="00D23BF7"/>
    <w:rsid w:val="00D24C11"/>
    <w:rsid w:val="00D251AE"/>
    <w:rsid w:val="00D26BC5"/>
    <w:rsid w:val="00D27C9A"/>
    <w:rsid w:val="00D3075E"/>
    <w:rsid w:val="00D3129C"/>
    <w:rsid w:val="00D31F96"/>
    <w:rsid w:val="00D33FA9"/>
    <w:rsid w:val="00D35484"/>
    <w:rsid w:val="00D354AB"/>
    <w:rsid w:val="00D35787"/>
    <w:rsid w:val="00D371F8"/>
    <w:rsid w:val="00D37326"/>
    <w:rsid w:val="00D37475"/>
    <w:rsid w:val="00D37629"/>
    <w:rsid w:val="00D37991"/>
    <w:rsid w:val="00D37E52"/>
    <w:rsid w:val="00D403B3"/>
    <w:rsid w:val="00D40BCE"/>
    <w:rsid w:val="00D41392"/>
    <w:rsid w:val="00D417F1"/>
    <w:rsid w:val="00D41DBA"/>
    <w:rsid w:val="00D443B6"/>
    <w:rsid w:val="00D44E76"/>
    <w:rsid w:val="00D45286"/>
    <w:rsid w:val="00D45837"/>
    <w:rsid w:val="00D45883"/>
    <w:rsid w:val="00D45B47"/>
    <w:rsid w:val="00D460E0"/>
    <w:rsid w:val="00D46346"/>
    <w:rsid w:val="00D46BBE"/>
    <w:rsid w:val="00D46D4E"/>
    <w:rsid w:val="00D4758A"/>
    <w:rsid w:val="00D47F7D"/>
    <w:rsid w:val="00D5060D"/>
    <w:rsid w:val="00D50A43"/>
    <w:rsid w:val="00D52B5C"/>
    <w:rsid w:val="00D53D58"/>
    <w:rsid w:val="00D555F5"/>
    <w:rsid w:val="00D56789"/>
    <w:rsid w:val="00D56F83"/>
    <w:rsid w:val="00D578D8"/>
    <w:rsid w:val="00D6137C"/>
    <w:rsid w:val="00D6254A"/>
    <w:rsid w:val="00D62AD3"/>
    <w:rsid w:val="00D62F93"/>
    <w:rsid w:val="00D630AC"/>
    <w:rsid w:val="00D638BC"/>
    <w:rsid w:val="00D6587E"/>
    <w:rsid w:val="00D65A4F"/>
    <w:rsid w:val="00D65B3F"/>
    <w:rsid w:val="00D66513"/>
    <w:rsid w:val="00D6662E"/>
    <w:rsid w:val="00D70213"/>
    <w:rsid w:val="00D709AF"/>
    <w:rsid w:val="00D71506"/>
    <w:rsid w:val="00D715A8"/>
    <w:rsid w:val="00D719F4"/>
    <w:rsid w:val="00D71CB7"/>
    <w:rsid w:val="00D7224D"/>
    <w:rsid w:val="00D7266E"/>
    <w:rsid w:val="00D75D0F"/>
    <w:rsid w:val="00D76D30"/>
    <w:rsid w:val="00D7798C"/>
    <w:rsid w:val="00D8035E"/>
    <w:rsid w:val="00D80D8B"/>
    <w:rsid w:val="00D81EAF"/>
    <w:rsid w:val="00D825B8"/>
    <w:rsid w:val="00D82689"/>
    <w:rsid w:val="00D829BE"/>
    <w:rsid w:val="00D83253"/>
    <w:rsid w:val="00D849C6"/>
    <w:rsid w:val="00D871F7"/>
    <w:rsid w:val="00D878CC"/>
    <w:rsid w:val="00D900F7"/>
    <w:rsid w:val="00D9151E"/>
    <w:rsid w:val="00D916CC"/>
    <w:rsid w:val="00D91C2E"/>
    <w:rsid w:val="00D92B01"/>
    <w:rsid w:val="00D93A16"/>
    <w:rsid w:val="00D9484A"/>
    <w:rsid w:val="00D95AE5"/>
    <w:rsid w:val="00D96BCA"/>
    <w:rsid w:val="00D971EF"/>
    <w:rsid w:val="00D97C06"/>
    <w:rsid w:val="00DA2804"/>
    <w:rsid w:val="00DA4C80"/>
    <w:rsid w:val="00DA55AC"/>
    <w:rsid w:val="00DA598F"/>
    <w:rsid w:val="00DA5D33"/>
    <w:rsid w:val="00DA603E"/>
    <w:rsid w:val="00DA6455"/>
    <w:rsid w:val="00DA74B6"/>
    <w:rsid w:val="00DA7762"/>
    <w:rsid w:val="00DA7C99"/>
    <w:rsid w:val="00DB01E0"/>
    <w:rsid w:val="00DB3AB9"/>
    <w:rsid w:val="00DB47EC"/>
    <w:rsid w:val="00DB513B"/>
    <w:rsid w:val="00DB59D2"/>
    <w:rsid w:val="00DB683A"/>
    <w:rsid w:val="00DC0930"/>
    <w:rsid w:val="00DC0C43"/>
    <w:rsid w:val="00DC10DB"/>
    <w:rsid w:val="00DC1FB6"/>
    <w:rsid w:val="00DC20D6"/>
    <w:rsid w:val="00DC25E2"/>
    <w:rsid w:val="00DC316C"/>
    <w:rsid w:val="00DC6070"/>
    <w:rsid w:val="00DC6C0E"/>
    <w:rsid w:val="00DD1053"/>
    <w:rsid w:val="00DD14F1"/>
    <w:rsid w:val="00DD1C6A"/>
    <w:rsid w:val="00DD2C46"/>
    <w:rsid w:val="00DD3164"/>
    <w:rsid w:val="00DD691D"/>
    <w:rsid w:val="00DE07BA"/>
    <w:rsid w:val="00DE11E5"/>
    <w:rsid w:val="00DE17F7"/>
    <w:rsid w:val="00DE1924"/>
    <w:rsid w:val="00DE3DCB"/>
    <w:rsid w:val="00DE5424"/>
    <w:rsid w:val="00DE58F4"/>
    <w:rsid w:val="00DE7C49"/>
    <w:rsid w:val="00DF00D4"/>
    <w:rsid w:val="00DF0DAE"/>
    <w:rsid w:val="00DF26F4"/>
    <w:rsid w:val="00DF45A8"/>
    <w:rsid w:val="00DF45D6"/>
    <w:rsid w:val="00DF588D"/>
    <w:rsid w:val="00DF6D18"/>
    <w:rsid w:val="00DF7715"/>
    <w:rsid w:val="00E001B4"/>
    <w:rsid w:val="00E01A3D"/>
    <w:rsid w:val="00E02825"/>
    <w:rsid w:val="00E0398C"/>
    <w:rsid w:val="00E03CD4"/>
    <w:rsid w:val="00E043CE"/>
    <w:rsid w:val="00E04626"/>
    <w:rsid w:val="00E04984"/>
    <w:rsid w:val="00E04ADF"/>
    <w:rsid w:val="00E04FD3"/>
    <w:rsid w:val="00E0567B"/>
    <w:rsid w:val="00E07B71"/>
    <w:rsid w:val="00E109AB"/>
    <w:rsid w:val="00E12678"/>
    <w:rsid w:val="00E132CA"/>
    <w:rsid w:val="00E1349E"/>
    <w:rsid w:val="00E13D51"/>
    <w:rsid w:val="00E15099"/>
    <w:rsid w:val="00E16666"/>
    <w:rsid w:val="00E173E1"/>
    <w:rsid w:val="00E17887"/>
    <w:rsid w:val="00E17A60"/>
    <w:rsid w:val="00E20CAA"/>
    <w:rsid w:val="00E20D99"/>
    <w:rsid w:val="00E21B12"/>
    <w:rsid w:val="00E22BD5"/>
    <w:rsid w:val="00E2361D"/>
    <w:rsid w:val="00E258BB"/>
    <w:rsid w:val="00E2744D"/>
    <w:rsid w:val="00E316E4"/>
    <w:rsid w:val="00E318BE"/>
    <w:rsid w:val="00E33138"/>
    <w:rsid w:val="00E343C4"/>
    <w:rsid w:val="00E34CD6"/>
    <w:rsid w:val="00E36A99"/>
    <w:rsid w:val="00E4089A"/>
    <w:rsid w:val="00E4105A"/>
    <w:rsid w:val="00E41DA6"/>
    <w:rsid w:val="00E42379"/>
    <w:rsid w:val="00E42A10"/>
    <w:rsid w:val="00E42F8D"/>
    <w:rsid w:val="00E43569"/>
    <w:rsid w:val="00E447C9"/>
    <w:rsid w:val="00E44BE2"/>
    <w:rsid w:val="00E45A8F"/>
    <w:rsid w:val="00E46B16"/>
    <w:rsid w:val="00E47F37"/>
    <w:rsid w:val="00E51055"/>
    <w:rsid w:val="00E5133E"/>
    <w:rsid w:val="00E5233E"/>
    <w:rsid w:val="00E5304B"/>
    <w:rsid w:val="00E549C6"/>
    <w:rsid w:val="00E567F4"/>
    <w:rsid w:val="00E5728E"/>
    <w:rsid w:val="00E57560"/>
    <w:rsid w:val="00E576A2"/>
    <w:rsid w:val="00E6038A"/>
    <w:rsid w:val="00E60C4A"/>
    <w:rsid w:val="00E61120"/>
    <w:rsid w:val="00E62D09"/>
    <w:rsid w:val="00E639DE"/>
    <w:rsid w:val="00E64EDF"/>
    <w:rsid w:val="00E65AFF"/>
    <w:rsid w:val="00E65CD4"/>
    <w:rsid w:val="00E66ABD"/>
    <w:rsid w:val="00E70B47"/>
    <w:rsid w:val="00E70BF9"/>
    <w:rsid w:val="00E70E16"/>
    <w:rsid w:val="00E73953"/>
    <w:rsid w:val="00E748EA"/>
    <w:rsid w:val="00E75A6F"/>
    <w:rsid w:val="00E76083"/>
    <w:rsid w:val="00E7656A"/>
    <w:rsid w:val="00E806B1"/>
    <w:rsid w:val="00E81D88"/>
    <w:rsid w:val="00E82671"/>
    <w:rsid w:val="00E84AD7"/>
    <w:rsid w:val="00E84FAF"/>
    <w:rsid w:val="00E85314"/>
    <w:rsid w:val="00E85EC0"/>
    <w:rsid w:val="00E8649D"/>
    <w:rsid w:val="00E86857"/>
    <w:rsid w:val="00E87189"/>
    <w:rsid w:val="00E874F0"/>
    <w:rsid w:val="00E8798F"/>
    <w:rsid w:val="00E90104"/>
    <w:rsid w:val="00E902D4"/>
    <w:rsid w:val="00E9196B"/>
    <w:rsid w:val="00E91AB5"/>
    <w:rsid w:val="00E91E44"/>
    <w:rsid w:val="00E93C15"/>
    <w:rsid w:val="00E93D5C"/>
    <w:rsid w:val="00E96CD1"/>
    <w:rsid w:val="00EA03E7"/>
    <w:rsid w:val="00EA0DB1"/>
    <w:rsid w:val="00EA14E1"/>
    <w:rsid w:val="00EA1FBB"/>
    <w:rsid w:val="00EA2FD7"/>
    <w:rsid w:val="00EA3C1C"/>
    <w:rsid w:val="00EA58F5"/>
    <w:rsid w:val="00EA600A"/>
    <w:rsid w:val="00EA62A3"/>
    <w:rsid w:val="00EA6B9B"/>
    <w:rsid w:val="00EA70A1"/>
    <w:rsid w:val="00EA7B13"/>
    <w:rsid w:val="00EB0109"/>
    <w:rsid w:val="00EB07C5"/>
    <w:rsid w:val="00EB1DF2"/>
    <w:rsid w:val="00EB21B0"/>
    <w:rsid w:val="00EB2490"/>
    <w:rsid w:val="00EB31D0"/>
    <w:rsid w:val="00EB45BD"/>
    <w:rsid w:val="00EB4685"/>
    <w:rsid w:val="00EB4978"/>
    <w:rsid w:val="00EB58DD"/>
    <w:rsid w:val="00EB6199"/>
    <w:rsid w:val="00EB67AD"/>
    <w:rsid w:val="00EB7A7F"/>
    <w:rsid w:val="00EC068B"/>
    <w:rsid w:val="00EC079B"/>
    <w:rsid w:val="00EC08CB"/>
    <w:rsid w:val="00EC0BBF"/>
    <w:rsid w:val="00EC10C7"/>
    <w:rsid w:val="00EC4591"/>
    <w:rsid w:val="00EC463A"/>
    <w:rsid w:val="00EC4852"/>
    <w:rsid w:val="00EC4BFE"/>
    <w:rsid w:val="00ED1BDA"/>
    <w:rsid w:val="00ED26F2"/>
    <w:rsid w:val="00ED2A8E"/>
    <w:rsid w:val="00ED3B35"/>
    <w:rsid w:val="00ED5284"/>
    <w:rsid w:val="00EE1CB5"/>
    <w:rsid w:val="00EE3282"/>
    <w:rsid w:val="00EE32C5"/>
    <w:rsid w:val="00EE3CEE"/>
    <w:rsid w:val="00EE42B0"/>
    <w:rsid w:val="00EE4882"/>
    <w:rsid w:val="00EE4A2E"/>
    <w:rsid w:val="00EE4C19"/>
    <w:rsid w:val="00EE4F46"/>
    <w:rsid w:val="00EE5846"/>
    <w:rsid w:val="00EE5ADF"/>
    <w:rsid w:val="00EE5DFB"/>
    <w:rsid w:val="00EE5E96"/>
    <w:rsid w:val="00EE6E02"/>
    <w:rsid w:val="00EF063F"/>
    <w:rsid w:val="00EF2AFB"/>
    <w:rsid w:val="00EF478C"/>
    <w:rsid w:val="00EF4921"/>
    <w:rsid w:val="00EF5FBD"/>
    <w:rsid w:val="00EF666C"/>
    <w:rsid w:val="00EF698A"/>
    <w:rsid w:val="00EF735F"/>
    <w:rsid w:val="00F01471"/>
    <w:rsid w:val="00F0243D"/>
    <w:rsid w:val="00F02476"/>
    <w:rsid w:val="00F029FC"/>
    <w:rsid w:val="00F05AE4"/>
    <w:rsid w:val="00F064A5"/>
    <w:rsid w:val="00F072BE"/>
    <w:rsid w:val="00F07933"/>
    <w:rsid w:val="00F11113"/>
    <w:rsid w:val="00F11E95"/>
    <w:rsid w:val="00F12366"/>
    <w:rsid w:val="00F125CB"/>
    <w:rsid w:val="00F12DA6"/>
    <w:rsid w:val="00F14804"/>
    <w:rsid w:val="00F14C68"/>
    <w:rsid w:val="00F15159"/>
    <w:rsid w:val="00F151DB"/>
    <w:rsid w:val="00F209C1"/>
    <w:rsid w:val="00F22B33"/>
    <w:rsid w:val="00F232ED"/>
    <w:rsid w:val="00F238A6"/>
    <w:rsid w:val="00F24969"/>
    <w:rsid w:val="00F25107"/>
    <w:rsid w:val="00F26950"/>
    <w:rsid w:val="00F269F0"/>
    <w:rsid w:val="00F32AA8"/>
    <w:rsid w:val="00F32EA8"/>
    <w:rsid w:val="00F34B86"/>
    <w:rsid w:val="00F355E7"/>
    <w:rsid w:val="00F36116"/>
    <w:rsid w:val="00F373C8"/>
    <w:rsid w:val="00F37E24"/>
    <w:rsid w:val="00F408F8"/>
    <w:rsid w:val="00F423CB"/>
    <w:rsid w:val="00F43F53"/>
    <w:rsid w:val="00F45155"/>
    <w:rsid w:val="00F46917"/>
    <w:rsid w:val="00F46B4B"/>
    <w:rsid w:val="00F474DF"/>
    <w:rsid w:val="00F47633"/>
    <w:rsid w:val="00F47C4F"/>
    <w:rsid w:val="00F47D9C"/>
    <w:rsid w:val="00F50069"/>
    <w:rsid w:val="00F518CA"/>
    <w:rsid w:val="00F528AD"/>
    <w:rsid w:val="00F54212"/>
    <w:rsid w:val="00F55146"/>
    <w:rsid w:val="00F55D08"/>
    <w:rsid w:val="00F55F48"/>
    <w:rsid w:val="00F5791E"/>
    <w:rsid w:val="00F6101F"/>
    <w:rsid w:val="00F611D3"/>
    <w:rsid w:val="00F615ED"/>
    <w:rsid w:val="00F618D4"/>
    <w:rsid w:val="00F618FA"/>
    <w:rsid w:val="00F621CB"/>
    <w:rsid w:val="00F62C98"/>
    <w:rsid w:val="00F6325D"/>
    <w:rsid w:val="00F642F8"/>
    <w:rsid w:val="00F64535"/>
    <w:rsid w:val="00F647A0"/>
    <w:rsid w:val="00F64A69"/>
    <w:rsid w:val="00F669A5"/>
    <w:rsid w:val="00F678D8"/>
    <w:rsid w:val="00F679EF"/>
    <w:rsid w:val="00F714C9"/>
    <w:rsid w:val="00F72421"/>
    <w:rsid w:val="00F73F1C"/>
    <w:rsid w:val="00F74DC8"/>
    <w:rsid w:val="00F76406"/>
    <w:rsid w:val="00F77CA5"/>
    <w:rsid w:val="00F80BE8"/>
    <w:rsid w:val="00F80CA7"/>
    <w:rsid w:val="00F811C3"/>
    <w:rsid w:val="00F81382"/>
    <w:rsid w:val="00F82AA7"/>
    <w:rsid w:val="00F82CF4"/>
    <w:rsid w:val="00F8496B"/>
    <w:rsid w:val="00F86D72"/>
    <w:rsid w:val="00F878C8"/>
    <w:rsid w:val="00F87C27"/>
    <w:rsid w:val="00F903E1"/>
    <w:rsid w:val="00F90613"/>
    <w:rsid w:val="00F936A1"/>
    <w:rsid w:val="00F9411B"/>
    <w:rsid w:val="00F94191"/>
    <w:rsid w:val="00F943CB"/>
    <w:rsid w:val="00F946C3"/>
    <w:rsid w:val="00F947CB"/>
    <w:rsid w:val="00F94B57"/>
    <w:rsid w:val="00F94DBD"/>
    <w:rsid w:val="00F9599B"/>
    <w:rsid w:val="00F95AFE"/>
    <w:rsid w:val="00FA00AA"/>
    <w:rsid w:val="00FA0670"/>
    <w:rsid w:val="00FA0D87"/>
    <w:rsid w:val="00FA16B4"/>
    <w:rsid w:val="00FA1DF5"/>
    <w:rsid w:val="00FA1EEA"/>
    <w:rsid w:val="00FA337F"/>
    <w:rsid w:val="00FA397E"/>
    <w:rsid w:val="00FA45F4"/>
    <w:rsid w:val="00FA4ABC"/>
    <w:rsid w:val="00FA4FB4"/>
    <w:rsid w:val="00FA58F7"/>
    <w:rsid w:val="00FA5F25"/>
    <w:rsid w:val="00FA622F"/>
    <w:rsid w:val="00FB0311"/>
    <w:rsid w:val="00FB0480"/>
    <w:rsid w:val="00FB317A"/>
    <w:rsid w:val="00FB361A"/>
    <w:rsid w:val="00FB3BE9"/>
    <w:rsid w:val="00FB5FF7"/>
    <w:rsid w:val="00FB6A75"/>
    <w:rsid w:val="00FB6DDC"/>
    <w:rsid w:val="00FB700F"/>
    <w:rsid w:val="00FB7DA9"/>
    <w:rsid w:val="00FC11AC"/>
    <w:rsid w:val="00FC3748"/>
    <w:rsid w:val="00FC409C"/>
    <w:rsid w:val="00FC5D39"/>
    <w:rsid w:val="00FC60A0"/>
    <w:rsid w:val="00FC6DAA"/>
    <w:rsid w:val="00FC7D03"/>
    <w:rsid w:val="00FD0F06"/>
    <w:rsid w:val="00FD19E0"/>
    <w:rsid w:val="00FD1A38"/>
    <w:rsid w:val="00FD3440"/>
    <w:rsid w:val="00FD5018"/>
    <w:rsid w:val="00FD54C9"/>
    <w:rsid w:val="00FD6420"/>
    <w:rsid w:val="00FD75BF"/>
    <w:rsid w:val="00FD77B9"/>
    <w:rsid w:val="00FD78DB"/>
    <w:rsid w:val="00FE0783"/>
    <w:rsid w:val="00FE0936"/>
    <w:rsid w:val="00FE158E"/>
    <w:rsid w:val="00FE1605"/>
    <w:rsid w:val="00FE19AE"/>
    <w:rsid w:val="00FE2283"/>
    <w:rsid w:val="00FE377F"/>
    <w:rsid w:val="00FE3BFA"/>
    <w:rsid w:val="00FE4475"/>
    <w:rsid w:val="00FE58C7"/>
    <w:rsid w:val="00FE6393"/>
    <w:rsid w:val="00FE65DC"/>
    <w:rsid w:val="00FE6949"/>
    <w:rsid w:val="00FE6D8B"/>
    <w:rsid w:val="00FE6E37"/>
    <w:rsid w:val="00FE7703"/>
    <w:rsid w:val="00FF1699"/>
    <w:rsid w:val="00FF179C"/>
    <w:rsid w:val="00FF207D"/>
    <w:rsid w:val="00FF2797"/>
    <w:rsid w:val="00FF2F97"/>
    <w:rsid w:val="00FF36E9"/>
    <w:rsid w:val="00FF3702"/>
    <w:rsid w:val="00FF38AC"/>
    <w:rsid w:val="00FF4014"/>
    <w:rsid w:val="00FF5AB6"/>
    <w:rsid w:val="00FF629D"/>
    <w:rsid w:val="00FF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4A4E3"/>
  <w15:chartTrackingRefBased/>
  <w15:docId w15:val="{1EEE2C7C-4C00-461A-95D4-057FD319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7814"/>
    <w:pPr>
      <w:spacing w:after="120" w:line="276" w:lineRule="auto"/>
      <w:ind w:left="360"/>
      <w:jc w:val="both"/>
      <w:outlineLvl w:val="0"/>
    </w:pPr>
    <w:rPr>
      <w:rFonts w:cstheme="minorHAnsi"/>
      <w:b/>
      <w:sz w:val="24"/>
      <w:szCs w:val="24"/>
    </w:rPr>
  </w:style>
  <w:style w:type="paragraph" w:styleId="Heading2">
    <w:name w:val="heading 2"/>
    <w:basedOn w:val="ListParagraph"/>
    <w:next w:val="Normal"/>
    <w:link w:val="Heading2Char"/>
    <w:uiPriority w:val="9"/>
    <w:unhideWhenUsed/>
    <w:qFormat/>
    <w:rsid w:val="00AF7814"/>
    <w:pPr>
      <w:spacing w:after="120" w:line="276" w:lineRule="auto"/>
      <w:ind w:left="360"/>
      <w:jc w:val="both"/>
      <w:outlineLvl w:val="1"/>
    </w:pPr>
    <w:rPr>
      <w:rFonts w:cstheme="minorHAnsi"/>
      <w:b/>
      <w:sz w:val="24"/>
      <w:szCs w:val="24"/>
    </w:rPr>
  </w:style>
  <w:style w:type="paragraph" w:styleId="Heading3">
    <w:name w:val="heading 3"/>
    <w:basedOn w:val="Normal"/>
    <w:next w:val="Normal"/>
    <w:link w:val="Heading3Char"/>
    <w:uiPriority w:val="9"/>
    <w:unhideWhenUsed/>
    <w:qFormat/>
    <w:rsid w:val="00AF7814"/>
    <w:pPr>
      <w:jc w:val="center"/>
      <w:outlineLvl w:val="2"/>
    </w:pPr>
    <w:rPr>
      <w:rFonts w:cstheme="minorHAnsi"/>
      <w:b/>
      <w:sz w:val="24"/>
      <w:szCs w:val="24"/>
    </w:rPr>
  </w:style>
  <w:style w:type="paragraph" w:styleId="Heading4">
    <w:name w:val="heading 4"/>
    <w:basedOn w:val="Heading2"/>
    <w:next w:val="Normal"/>
    <w:link w:val="Heading4Char"/>
    <w:uiPriority w:val="9"/>
    <w:unhideWhenUsed/>
    <w:qFormat/>
    <w:rsid w:val="00AF7814"/>
    <w:pPr>
      <w:outlineLvl w:val="3"/>
    </w:pPr>
  </w:style>
  <w:style w:type="paragraph" w:styleId="Heading5">
    <w:name w:val="heading 5"/>
    <w:basedOn w:val="Normal"/>
    <w:next w:val="Normal"/>
    <w:link w:val="Heading5Char"/>
    <w:uiPriority w:val="9"/>
    <w:semiHidden/>
    <w:unhideWhenUsed/>
    <w:qFormat/>
    <w:rsid w:val="00563148"/>
    <w:pPr>
      <w:spacing w:before="240" w:after="60" w:line="264" w:lineRule="auto"/>
      <w:ind w:left="1008" w:hanging="1008"/>
      <w:jc w:val="both"/>
      <w:outlineLvl w:val="4"/>
    </w:pPr>
    <w:rPr>
      <w:rFonts w:ascii="Calibri" w:eastAsia="Times New Roman" w:hAnsi="Calibri" w:cs="Times New Roman"/>
      <w:b/>
      <w:bCs/>
      <w:i/>
      <w:iCs/>
      <w:sz w:val="26"/>
      <w:szCs w:val="26"/>
      <w:lang w:val="en-GB" w:eastAsia="en-GB"/>
    </w:rPr>
  </w:style>
  <w:style w:type="paragraph" w:styleId="Heading6">
    <w:name w:val="heading 6"/>
    <w:basedOn w:val="Normal"/>
    <w:next w:val="Normal"/>
    <w:link w:val="Heading6Char"/>
    <w:uiPriority w:val="9"/>
    <w:semiHidden/>
    <w:unhideWhenUsed/>
    <w:qFormat/>
    <w:rsid w:val="00563148"/>
    <w:pPr>
      <w:spacing w:before="240" w:after="60" w:line="264" w:lineRule="auto"/>
      <w:ind w:left="1152" w:hanging="1152"/>
      <w:jc w:val="both"/>
      <w:outlineLvl w:val="5"/>
    </w:pPr>
    <w:rPr>
      <w:rFonts w:ascii="Calibri" w:eastAsia="Times New Roman" w:hAnsi="Calibri" w:cs="Times New Roman"/>
      <w:b/>
      <w:bCs/>
      <w:szCs w:val="24"/>
      <w:lang w:val="en-GB" w:eastAsia="en-GB"/>
    </w:rPr>
  </w:style>
  <w:style w:type="paragraph" w:styleId="Heading7">
    <w:name w:val="heading 7"/>
    <w:basedOn w:val="Normal"/>
    <w:next w:val="Normal"/>
    <w:link w:val="Heading7Char"/>
    <w:uiPriority w:val="9"/>
    <w:semiHidden/>
    <w:unhideWhenUsed/>
    <w:qFormat/>
    <w:rsid w:val="00563148"/>
    <w:pPr>
      <w:spacing w:before="240" w:after="60" w:line="264" w:lineRule="auto"/>
      <w:ind w:left="1296" w:hanging="1296"/>
      <w:jc w:val="both"/>
      <w:outlineLvl w:val="6"/>
    </w:pPr>
    <w:rPr>
      <w:rFonts w:ascii="Calibri" w:eastAsia="Times New Roman" w:hAnsi="Calibri" w:cs="Times New Roman"/>
      <w:sz w:val="24"/>
      <w:szCs w:val="24"/>
      <w:lang w:val="en-GB" w:eastAsia="en-GB"/>
    </w:rPr>
  </w:style>
  <w:style w:type="paragraph" w:styleId="Heading8">
    <w:name w:val="heading 8"/>
    <w:basedOn w:val="Normal"/>
    <w:next w:val="Normal"/>
    <w:link w:val="Heading8Char"/>
    <w:uiPriority w:val="9"/>
    <w:semiHidden/>
    <w:unhideWhenUsed/>
    <w:qFormat/>
    <w:rsid w:val="00563148"/>
    <w:pPr>
      <w:spacing w:before="240" w:after="60" w:line="264" w:lineRule="auto"/>
      <w:ind w:left="1440" w:hanging="1440"/>
      <w:jc w:val="both"/>
      <w:outlineLvl w:val="7"/>
    </w:pPr>
    <w:rPr>
      <w:rFonts w:ascii="Calibri" w:eastAsia="Times New Roman" w:hAnsi="Calibri" w:cs="Times New Roman"/>
      <w:i/>
      <w:iCs/>
      <w:sz w:val="24"/>
      <w:szCs w:val="24"/>
      <w:lang w:val="en-GB" w:eastAsia="en-GB"/>
    </w:rPr>
  </w:style>
  <w:style w:type="paragraph" w:styleId="Heading9">
    <w:name w:val="heading 9"/>
    <w:basedOn w:val="Normal"/>
    <w:next w:val="Normal"/>
    <w:link w:val="Heading9Char"/>
    <w:uiPriority w:val="9"/>
    <w:semiHidden/>
    <w:unhideWhenUsed/>
    <w:qFormat/>
    <w:rsid w:val="00563148"/>
    <w:pPr>
      <w:spacing w:before="240" w:after="60" w:line="264" w:lineRule="auto"/>
      <w:ind w:left="1584" w:hanging="1584"/>
      <w:jc w:val="both"/>
      <w:outlineLvl w:val="8"/>
    </w:pPr>
    <w:rPr>
      <w:rFonts w:ascii="Cambria" w:eastAsia="Times New Roman" w:hAnsi="Cambria" w:cs="Times New Roman"/>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07933"/>
    <w:pPr>
      <w:ind w:left="720"/>
      <w:contextualSpacing/>
    </w:pPr>
  </w:style>
  <w:style w:type="character" w:customStyle="1" w:styleId="Heading1Char">
    <w:name w:val="Heading 1 Char"/>
    <w:basedOn w:val="DefaultParagraphFont"/>
    <w:link w:val="Heading1"/>
    <w:uiPriority w:val="9"/>
    <w:rsid w:val="00AF7814"/>
    <w:rPr>
      <w:rFonts w:cstheme="minorHAnsi"/>
      <w:b/>
      <w:sz w:val="24"/>
      <w:szCs w:val="24"/>
    </w:rPr>
  </w:style>
  <w:style w:type="character" w:customStyle="1" w:styleId="Heading2Char">
    <w:name w:val="Heading 2 Char"/>
    <w:basedOn w:val="DefaultParagraphFont"/>
    <w:link w:val="Heading2"/>
    <w:uiPriority w:val="9"/>
    <w:rsid w:val="00AF7814"/>
    <w:rPr>
      <w:rFonts w:cstheme="minorHAnsi"/>
      <w:b/>
      <w:sz w:val="24"/>
      <w:szCs w:val="24"/>
    </w:rPr>
  </w:style>
  <w:style w:type="character" w:customStyle="1" w:styleId="Heading3Char">
    <w:name w:val="Heading 3 Char"/>
    <w:basedOn w:val="DefaultParagraphFont"/>
    <w:link w:val="Heading3"/>
    <w:uiPriority w:val="9"/>
    <w:rsid w:val="00AF7814"/>
    <w:rPr>
      <w:rFonts w:cstheme="minorHAnsi"/>
      <w:b/>
      <w:sz w:val="24"/>
      <w:szCs w:val="24"/>
    </w:rPr>
  </w:style>
  <w:style w:type="character" w:customStyle="1" w:styleId="Heading4Char">
    <w:name w:val="Heading 4 Char"/>
    <w:basedOn w:val="DefaultParagraphFont"/>
    <w:link w:val="Heading4"/>
    <w:uiPriority w:val="9"/>
    <w:rsid w:val="00AF7814"/>
    <w:rPr>
      <w:rFonts w:cstheme="minorHAnsi"/>
      <w:b/>
      <w:sz w:val="24"/>
      <w:szCs w:val="24"/>
    </w:rPr>
  </w:style>
  <w:style w:type="paragraph" w:styleId="Title">
    <w:name w:val="Title"/>
    <w:basedOn w:val="Normal"/>
    <w:next w:val="Normal"/>
    <w:link w:val="TitleChar"/>
    <w:uiPriority w:val="10"/>
    <w:qFormat/>
    <w:rsid w:val="00AF78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814"/>
    <w:rPr>
      <w:rFonts w:asciiTheme="majorHAnsi" w:eastAsiaTheme="majorEastAsia" w:hAnsiTheme="majorHAnsi" w:cstheme="majorBidi"/>
      <w:spacing w:val="-10"/>
      <w:kern w:val="28"/>
      <w:sz w:val="56"/>
      <w:szCs w:val="56"/>
    </w:rPr>
  </w:style>
  <w:style w:type="character" w:customStyle="1" w:styleId="ListParagraphChar">
    <w:name w:val="List Paragraph Char"/>
    <w:basedOn w:val="DefaultParagraphFont"/>
    <w:link w:val="ListParagraph"/>
    <w:uiPriority w:val="34"/>
    <w:rsid w:val="00AF7814"/>
  </w:style>
  <w:style w:type="character" w:styleId="CommentReference">
    <w:name w:val="annotation reference"/>
    <w:basedOn w:val="DefaultParagraphFont"/>
    <w:uiPriority w:val="99"/>
    <w:unhideWhenUsed/>
    <w:rsid w:val="00AF7814"/>
    <w:rPr>
      <w:sz w:val="16"/>
      <w:szCs w:val="16"/>
    </w:rPr>
  </w:style>
  <w:style w:type="paragraph" w:styleId="CommentText">
    <w:name w:val="annotation text"/>
    <w:basedOn w:val="Normal"/>
    <w:link w:val="CommentTextChar"/>
    <w:uiPriority w:val="99"/>
    <w:unhideWhenUsed/>
    <w:rsid w:val="00AF7814"/>
    <w:pPr>
      <w:spacing w:line="240" w:lineRule="auto"/>
    </w:pPr>
    <w:rPr>
      <w:sz w:val="20"/>
      <w:szCs w:val="20"/>
      <w:lang w:val="el-GR"/>
    </w:rPr>
  </w:style>
  <w:style w:type="character" w:customStyle="1" w:styleId="CommentTextChar">
    <w:name w:val="Comment Text Char"/>
    <w:basedOn w:val="DefaultParagraphFont"/>
    <w:link w:val="CommentText"/>
    <w:uiPriority w:val="99"/>
    <w:rsid w:val="00AF7814"/>
    <w:rPr>
      <w:sz w:val="20"/>
      <w:szCs w:val="20"/>
      <w:lang w:val="el-GR"/>
    </w:rPr>
  </w:style>
  <w:style w:type="paragraph" w:styleId="CommentSubject">
    <w:name w:val="annotation subject"/>
    <w:basedOn w:val="CommentText"/>
    <w:next w:val="CommentText"/>
    <w:link w:val="CommentSubjectChar"/>
    <w:uiPriority w:val="99"/>
    <w:semiHidden/>
    <w:unhideWhenUsed/>
    <w:rsid w:val="00AF7814"/>
    <w:rPr>
      <w:b/>
      <w:bCs/>
    </w:rPr>
  </w:style>
  <w:style w:type="character" w:customStyle="1" w:styleId="CommentSubjectChar">
    <w:name w:val="Comment Subject Char"/>
    <w:basedOn w:val="CommentTextChar"/>
    <w:link w:val="CommentSubject"/>
    <w:uiPriority w:val="99"/>
    <w:semiHidden/>
    <w:rsid w:val="00AF7814"/>
    <w:rPr>
      <w:b/>
      <w:bCs/>
      <w:sz w:val="20"/>
      <w:szCs w:val="20"/>
      <w:lang w:val="el-GR"/>
    </w:rPr>
  </w:style>
  <w:style w:type="paragraph" w:styleId="BalloonText">
    <w:name w:val="Balloon Text"/>
    <w:basedOn w:val="Normal"/>
    <w:link w:val="BalloonTextChar"/>
    <w:uiPriority w:val="99"/>
    <w:semiHidden/>
    <w:unhideWhenUsed/>
    <w:rsid w:val="00AF7814"/>
    <w:pPr>
      <w:spacing w:after="0" w:line="240" w:lineRule="auto"/>
    </w:pPr>
    <w:rPr>
      <w:rFonts w:ascii="Segoe UI" w:hAnsi="Segoe UI" w:cs="Segoe UI"/>
      <w:sz w:val="18"/>
      <w:szCs w:val="18"/>
      <w:lang w:val="el-GR"/>
    </w:rPr>
  </w:style>
  <w:style w:type="character" w:customStyle="1" w:styleId="BalloonTextChar">
    <w:name w:val="Balloon Text Char"/>
    <w:basedOn w:val="DefaultParagraphFont"/>
    <w:link w:val="BalloonText"/>
    <w:uiPriority w:val="99"/>
    <w:semiHidden/>
    <w:rsid w:val="00AF7814"/>
    <w:rPr>
      <w:rFonts w:ascii="Segoe UI" w:hAnsi="Segoe UI" w:cs="Segoe UI"/>
      <w:sz w:val="18"/>
      <w:szCs w:val="18"/>
      <w:lang w:val="el-GR"/>
    </w:rPr>
  </w:style>
  <w:style w:type="paragraph" w:styleId="Header">
    <w:name w:val="header"/>
    <w:basedOn w:val="Normal"/>
    <w:link w:val="HeaderChar"/>
    <w:uiPriority w:val="99"/>
    <w:unhideWhenUsed/>
    <w:rsid w:val="00AF7814"/>
    <w:pPr>
      <w:tabs>
        <w:tab w:val="center" w:pos="4153"/>
        <w:tab w:val="right" w:pos="8306"/>
      </w:tabs>
      <w:spacing w:after="0" w:line="240" w:lineRule="auto"/>
    </w:pPr>
    <w:rPr>
      <w:lang w:val="el-GR"/>
    </w:rPr>
  </w:style>
  <w:style w:type="character" w:customStyle="1" w:styleId="HeaderChar">
    <w:name w:val="Header Char"/>
    <w:basedOn w:val="DefaultParagraphFont"/>
    <w:link w:val="Header"/>
    <w:uiPriority w:val="99"/>
    <w:rsid w:val="00AF7814"/>
    <w:rPr>
      <w:lang w:val="el-GR"/>
    </w:rPr>
  </w:style>
  <w:style w:type="paragraph" w:styleId="Footer">
    <w:name w:val="footer"/>
    <w:basedOn w:val="Normal"/>
    <w:link w:val="FooterChar"/>
    <w:uiPriority w:val="99"/>
    <w:unhideWhenUsed/>
    <w:rsid w:val="00AF7814"/>
    <w:pPr>
      <w:tabs>
        <w:tab w:val="center" w:pos="4153"/>
        <w:tab w:val="right" w:pos="8306"/>
      </w:tabs>
      <w:spacing w:after="0" w:line="240" w:lineRule="auto"/>
    </w:pPr>
    <w:rPr>
      <w:lang w:val="el-GR"/>
    </w:rPr>
  </w:style>
  <w:style w:type="character" w:customStyle="1" w:styleId="FooterChar">
    <w:name w:val="Footer Char"/>
    <w:basedOn w:val="DefaultParagraphFont"/>
    <w:link w:val="Footer"/>
    <w:uiPriority w:val="99"/>
    <w:rsid w:val="00AF7814"/>
    <w:rPr>
      <w:lang w:val="el-GR"/>
    </w:rPr>
  </w:style>
  <w:style w:type="character" w:customStyle="1" w:styleId="3">
    <w:name w:val="Επικεφαλίδα #3_"/>
    <w:basedOn w:val="DefaultParagraphFont"/>
    <w:link w:val="30"/>
    <w:rsid w:val="00AF7814"/>
    <w:rPr>
      <w:rFonts w:ascii="Arial" w:eastAsia="Arial" w:hAnsi="Arial" w:cs="Arial"/>
      <w:b/>
      <w:bCs/>
      <w:sz w:val="19"/>
      <w:szCs w:val="19"/>
      <w:shd w:val="clear" w:color="auto" w:fill="FFFFFF"/>
    </w:rPr>
  </w:style>
  <w:style w:type="paragraph" w:customStyle="1" w:styleId="30">
    <w:name w:val="Επικεφαλίδα #3"/>
    <w:basedOn w:val="Normal"/>
    <w:link w:val="3"/>
    <w:rsid w:val="00AF7814"/>
    <w:pPr>
      <w:widowControl w:val="0"/>
      <w:shd w:val="clear" w:color="auto" w:fill="FFFFFF"/>
      <w:spacing w:after="300" w:line="360" w:lineRule="auto"/>
      <w:outlineLvl w:val="2"/>
    </w:pPr>
    <w:rPr>
      <w:rFonts w:ascii="Arial" w:eastAsia="Arial" w:hAnsi="Arial" w:cs="Arial"/>
      <w:b/>
      <w:bCs/>
      <w:sz w:val="19"/>
      <w:szCs w:val="19"/>
    </w:rPr>
  </w:style>
  <w:style w:type="table" w:styleId="TableGrid">
    <w:name w:val="Table Grid"/>
    <w:basedOn w:val="TableNormal"/>
    <w:uiPriority w:val="39"/>
    <w:rsid w:val="00AF7814"/>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15719B"/>
    <w:rPr>
      <w:vertAlign w:val="superscript"/>
    </w:rPr>
  </w:style>
  <w:style w:type="paragraph" w:styleId="FootnoteText">
    <w:name w:val="footnote text"/>
    <w:basedOn w:val="Normal"/>
    <w:link w:val="FootnoteTextChar"/>
    <w:uiPriority w:val="99"/>
    <w:unhideWhenUsed/>
    <w:rsid w:val="0015719B"/>
    <w:pPr>
      <w:spacing w:after="0" w:line="264" w:lineRule="auto"/>
      <w:jc w:val="both"/>
    </w:pPr>
    <w:rPr>
      <w:rFonts w:ascii="Calibri" w:eastAsiaTheme="minorEastAsia" w:hAnsi="Calibri" w:cs="Times New Roman"/>
      <w:sz w:val="20"/>
      <w:szCs w:val="20"/>
      <w:lang w:val="en-GB" w:eastAsia="en-GB"/>
    </w:rPr>
  </w:style>
  <w:style w:type="character" w:customStyle="1" w:styleId="FootnoteTextChar">
    <w:name w:val="Footnote Text Char"/>
    <w:basedOn w:val="DefaultParagraphFont"/>
    <w:link w:val="FootnoteText"/>
    <w:uiPriority w:val="99"/>
    <w:rsid w:val="0015719B"/>
    <w:rPr>
      <w:rFonts w:ascii="Calibri" w:eastAsiaTheme="minorEastAsia" w:hAnsi="Calibri" w:cs="Times New Roman"/>
      <w:sz w:val="20"/>
      <w:szCs w:val="20"/>
      <w:lang w:val="en-GB" w:eastAsia="en-GB"/>
    </w:rPr>
  </w:style>
  <w:style w:type="paragraph" w:customStyle="1" w:styleId="E1Level">
    <w:name w:val="E 1 Level"/>
    <w:basedOn w:val="Normal"/>
    <w:link w:val="E1LevelCarattere"/>
    <w:autoRedefine/>
    <w:qFormat/>
    <w:rsid w:val="00CC6142"/>
    <w:pPr>
      <w:widowControl w:val="0"/>
      <w:suppressAutoHyphens/>
      <w:spacing w:before="120" w:after="120" w:line="240" w:lineRule="auto"/>
      <w:jc w:val="center"/>
      <w:outlineLvl w:val="0"/>
    </w:pPr>
    <w:rPr>
      <w:rFonts w:ascii="Calibri" w:eastAsia="Times New Roman" w:hAnsi="Calibri" w:cs="Times New Roman"/>
      <w:b/>
      <w:bCs/>
      <w:sz w:val="24"/>
      <w:szCs w:val="18"/>
      <w:lang w:val="en-GB" w:eastAsia="en-GB"/>
    </w:rPr>
  </w:style>
  <w:style w:type="character" w:customStyle="1" w:styleId="E1LevelCarattere">
    <w:name w:val="E 1 Level Carattere"/>
    <w:link w:val="E1Level"/>
    <w:rsid w:val="00CC6142"/>
    <w:rPr>
      <w:rFonts w:ascii="Calibri" w:eastAsia="Times New Roman" w:hAnsi="Calibri" w:cs="Times New Roman"/>
      <w:b/>
      <w:bCs/>
      <w:sz w:val="24"/>
      <w:szCs w:val="18"/>
      <w:lang w:val="en-GB" w:eastAsia="en-GB"/>
    </w:rPr>
  </w:style>
  <w:style w:type="paragraph" w:customStyle="1" w:styleId="E2Level">
    <w:name w:val="E 2 Level"/>
    <w:basedOn w:val="E1Level"/>
    <w:link w:val="E2LevelCarattere"/>
    <w:qFormat/>
    <w:rsid w:val="0015719B"/>
    <w:pPr>
      <w:numPr>
        <w:numId w:val="1"/>
      </w:numPr>
      <w:tabs>
        <w:tab w:val="num" w:pos="360"/>
      </w:tabs>
      <w:spacing w:before="200"/>
      <w:ind w:left="0" w:firstLine="0"/>
      <w:outlineLvl w:val="1"/>
    </w:pPr>
  </w:style>
  <w:style w:type="paragraph" w:customStyle="1" w:styleId="E3Level">
    <w:name w:val="E 3 Level"/>
    <w:basedOn w:val="E2Level"/>
    <w:link w:val="E3LevelChar"/>
    <w:qFormat/>
    <w:rsid w:val="0015719B"/>
    <w:pPr>
      <w:numPr>
        <w:ilvl w:val="2"/>
      </w:numPr>
      <w:tabs>
        <w:tab w:val="num" w:pos="360"/>
      </w:tabs>
      <w:outlineLvl w:val="2"/>
    </w:pPr>
  </w:style>
  <w:style w:type="paragraph" w:customStyle="1" w:styleId="E4Level">
    <w:name w:val="E 4 Level"/>
    <w:basedOn w:val="E3Level"/>
    <w:link w:val="E4LevelChar"/>
    <w:qFormat/>
    <w:rsid w:val="0015719B"/>
    <w:pPr>
      <w:numPr>
        <w:ilvl w:val="3"/>
      </w:numPr>
      <w:tabs>
        <w:tab w:val="num" w:pos="360"/>
      </w:tabs>
      <w:outlineLvl w:val="3"/>
    </w:pPr>
  </w:style>
  <w:style w:type="paragraph" w:customStyle="1" w:styleId="E5Level">
    <w:name w:val="E 5 Level"/>
    <w:basedOn w:val="E4Level"/>
    <w:link w:val="E5LevelChar"/>
    <w:qFormat/>
    <w:rsid w:val="0015719B"/>
    <w:pPr>
      <w:numPr>
        <w:ilvl w:val="4"/>
      </w:numPr>
      <w:tabs>
        <w:tab w:val="num" w:pos="360"/>
      </w:tabs>
      <w:outlineLvl w:val="4"/>
    </w:pPr>
  </w:style>
  <w:style w:type="paragraph" w:styleId="BodyText2">
    <w:name w:val="Body Text 2"/>
    <w:basedOn w:val="Normal"/>
    <w:link w:val="BodyText2Char"/>
    <w:rsid w:val="00937352"/>
    <w:pPr>
      <w:spacing w:after="0" w:line="240" w:lineRule="auto"/>
      <w:jc w:val="both"/>
    </w:pPr>
    <w:rPr>
      <w:rFonts w:ascii="Garamond" w:eastAsia="Times New Roman" w:hAnsi="Garamond" w:cs="Times New Roman"/>
      <w:sz w:val="24"/>
      <w:szCs w:val="20"/>
      <w:lang w:val="it-IT" w:eastAsia="it-IT"/>
    </w:rPr>
  </w:style>
  <w:style w:type="character" w:customStyle="1" w:styleId="BodyText2Char">
    <w:name w:val="Body Text 2 Char"/>
    <w:basedOn w:val="DefaultParagraphFont"/>
    <w:link w:val="BodyText2"/>
    <w:rsid w:val="00937352"/>
    <w:rPr>
      <w:rFonts w:ascii="Garamond" w:eastAsia="Times New Roman" w:hAnsi="Garamond" w:cs="Times New Roman"/>
      <w:sz w:val="24"/>
      <w:szCs w:val="20"/>
      <w:lang w:val="it-IT" w:eastAsia="it-IT"/>
    </w:rPr>
  </w:style>
  <w:style w:type="character" w:styleId="Hyperlink">
    <w:name w:val="Hyperlink"/>
    <w:uiPriority w:val="99"/>
    <w:rsid w:val="00937352"/>
    <w:rPr>
      <w:color w:val="0000FF"/>
      <w:u w:val="single"/>
    </w:rPr>
  </w:style>
  <w:style w:type="paragraph" w:styleId="BodyText3">
    <w:name w:val="Body Text 3"/>
    <w:basedOn w:val="Normal"/>
    <w:link w:val="BodyText3Char"/>
    <w:rsid w:val="00937352"/>
    <w:pPr>
      <w:autoSpaceDE w:val="0"/>
      <w:autoSpaceDN w:val="0"/>
      <w:adjustRightInd w:val="0"/>
      <w:spacing w:after="0" w:line="288" w:lineRule="auto"/>
      <w:jc w:val="both"/>
    </w:pPr>
    <w:rPr>
      <w:rFonts w:ascii="Book Antiqua" w:eastAsia="Times New Roman" w:hAnsi="Book Antiqua" w:cs="Times New Roman"/>
      <w:b/>
      <w:sz w:val="28"/>
      <w:szCs w:val="24"/>
      <w:lang w:val="it-IT" w:eastAsia="it-IT"/>
    </w:rPr>
  </w:style>
  <w:style w:type="character" w:customStyle="1" w:styleId="BodyText3Char">
    <w:name w:val="Body Text 3 Char"/>
    <w:basedOn w:val="DefaultParagraphFont"/>
    <w:link w:val="BodyText3"/>
    <w:rsid w:val="00937352"/>
    <w:rPr>
      <w:rFonts w:ascii="Book Antiqua" w:eastAsia="Times New Roman" w:hAnsi="Book Antiqua" w:cs="Times New Roman"/>
      <w:b/>
      <w:sz w:val="28"/>
      <w:szCs w:val="24"/>
      <w:lang w:val="it-IT" w:eastAsia="it-IT"/>
    </w:rPr>
  </w:style>
  <w:style w:type="paragraph" w:customStyle="1" w:styleId="alignjustify">
    <w:name w:val="align_justify"/>
    <w:basedOn w:val="Normal"/>
    <w:rsid w:val="00937352"/>
    <w:pPr>
      <w:spacing w:before="150" w:after="100" w:afterAutospacing="1" w:line="240" w:lineRule="auto"/>
    </w:pPr>
    <w:rPr>
      <w:rFonts w:ascii="Times New Roman" w:eastAsia="Times New Roman" w:hAnsi="Times New Roman" w:cs="Times New Roman"/>
      <w:sz w:val="24"/>
      <w:szCs w:val="24"/>
      <w:lang w:val="it-IT" w:eastAsia="it-IT"/>
    </w:rPr>
  </w:style>
  <w:style w:type="character" w:customStyle="1" w:styleId="Heading5Char">
    <w:name w:val="Heading 5 Char"/>
    <w:basedOn w:val="DefaultParagraphFont"/>
    <w:link w:val="Heading5"/>
    <w:uiPriority w:val="9"/>
    <w:semiHidden/>
    <w:rsid w:val="00563148"/>
    <w:rPr>
      <w:rFonts w:ascii="Calibri" w:eastAsia="Times New Roman" w:hAnsi="Calibri" w:cs="Times New Roman"/>
      <w:b/>
      <w:bCs/>
      <w:i/>
      <w:iCs/>
      <w:sz w:val="26"/>
      <w:szCs w:val="26"/>
      <w:lang w:val="en-GB" w:eastAsia="en-GB"/>
    </w:rPr>
  </w:style>
  <w:style w:type="character" w:customStyle="1" w:styleId="Heading6Char">
    <w:name w:val="Heading 6 Char"/>
    <w:basedOn w:val="DefaultParagraphFont"/>
    <w:link w:val="Heading6"/>
    <w:uiPriority w:val="9"/>
    <w:semiHidden/>
    <w:rsid w:val="00563148"/>
    <w:rPr>
      <w:rFonts w:ascii="Calibri" w:eastAsia="Times New Roman" w:hAnsi="Calibri" w:cs="Times New Roman"/>
      <w:b/>
      <w:bCs/>
      <w:szCs w:val="24"/>
      <w:lang w:val="en-GB" w:eastAsia="en-GB"/>
    </w:rPr>
  </w:style>
  <w:style w:type="character" w:customStyle="1" w:styleId="Heading7Char">
    <w:name w:val="Heading 7 Char"/>
    <w:basedOn w:val="DefaultParagraphFont"/>
    <w:link w:val="Heading7"/>
    <w:uiPriority w:val="9"/>
    <w:semiHidden/>
    <w:rsid w:val="00563148"/>
    <w:rPr>
      <w:rFonts w:ascii="Calibri" w:eastAsia="Times New Roman" w:hAnsi="Calibri" w:cs="Times New Roman"/>
      <w:sz w:val="24"/>
      <w:szCs w:val="24"/>
      <w:lang w:val="en-GB" w:eastAsia="en-GB"/>
    </w:rPr>
  </w:style>
  <w:style w:type="character" w:customStyle="1" w:styleId="Heading8Char">
    <w:name w:val="Heading 8 Char"/>
    <w:basedOn w:val="DefaultParagraphFont"/>
    <w:link w:val="Heading8"/>
    <w:uiPriority w:val="9"/>
    <w:semiHidden/>
    <w:rsid w:val="00563148"/>
    <w:rPr>
      <w:rFonts w:ascii="Calibri" w:eastAsia="Times New Roman" w:hAnsi="Calibri" w:cs="Times New Roman"/>
      <w:i/>
      <w:iCs/>
      <w:sz w:val="24"/>
      <w:szCs w:val="24"/>
      <w:lang w:val="en-GB" w:eastAsia="en-GB"/>
    </w:rPr>
  </w:style>
  <w:style w:type="character" w:customStyle="1" w:styleId="Heading9Char">
    <w:name w:val="Heading 9 Char"/>
    <w:basedOn w:val="DefaultParagraphFont"/>
    <w:link w:val="Heading9"/>
    <w:uiPriority w:val="9"/>
    <w:semiHidden/>
    <w:rsid w:val="00563148"/>
    <w:rPr>
      <w:rFonts w:ascii="Cambria" w:eastAsia="Times New Roman" w:hAnsi="Cambria" w:cs="Times New Roman"/>
      <w:szCs w:val="24"/>
      <w:lang w:val="en-GB" w:eastAsia="en-GB"/>
    </w:rPr>
  </w:style>
  <w:style w:type="paragraph" w:customStyle="1" w:styleId="Question">
    <w:name w:val="Question"/>
    <w:basedOn w:val="Normal"/>
    <w:link w:val="QuestionChar"/>
    <w:rsid w:val="00563148"/>
    <w:pPr>
      <w:spacing w:after="0" w:line="264" w:lineRule="auto"/>
      <w:jc w:val="both"/>
    </w:pPr>
    <w:rPr>
      <w:rFonts w:ascii="Times New Roman" w:eastAsia="Times New Roman" w:hAnsi="Times New Roman" w:cs="Times New Roman"/>
      <w:b/>
      <w:bCs/>
      <w:i/>
      <w:sz w:val="24"/>
      <w:szCs w:val="24"/>
      <w:lang w:val="en-GB" w:eastAsia="en-GB"/>
    </w:rPr>
  </w:style>
  <w:style w:type="character" w:customStyle="1" w:styleId="QuestionChar">
    <w:name w:val="Question Char"/>
    <w:link w:val="Question"/>
    <w:rsid w:val="00563148"/>
    <w:rPr>
      <w:rFonts w:ascii="Times New Roman" w:eastAsia="Times New Roman" w:hAnsi="Times New Roman" w:cs="Times New Roman"/>
      <w:b/>
      <w:bCs/>
      <w:i/>
      <w:sz w:val="24"/>
      <w:szCs w:val="24"/>
      <w:lang w:val="en-GB" w:eastAsia="en-GB"/>
    </w:rPr>
  </w:style>
  <w:style w:type="paragraph" w:customStyle="1" w:styleId="Style1">
    <w:name w:val="Style1"/>
    <w:basedOn w:val="Normal"/>
    <w:link w:val="Style1Char"/>
    <w:rsid w:val="00563148"/>
    <w:pPr>
      <w:widowControl w:val="0"/>
      <w:spacing w:before="240" w:after="240" w:line="360" w:lineRule="auto"/>
      <w:jc w:val="both"/>
      <w:outlineLvl w:val="0"/>
    </w:pPr>
    <w:rPr>
      <w:rFonts w:ascii="Arial" w:eastAsia="Times New Roman" w:hAnsi="Arial" w:cs="Times New Roman"/>
      <w:b/>
      <w:smallCaps/>
      <w:sz w:val="24"/>
      <w:szCs w:val="24"/>
      <w:u w:val="single"/>
      <w:lang w:val="en-GB" w:eastAsia="nl-NL"/>
    </w:rPr>
  </w:style>
  <w:style w:type="character" w:customStyle="1" w:styleId="Style1Char">
    <w:name w:val="Style1 Char"/>
    <w:link w:val="Style1"/>
    <w:rsid w:val="00563148"/>
    <w:rPr>
      <w:rFonts w:ascii="Arial" w:eastAsia="Times New Roman" w:hAnsi="Arial" w:cs="Times New Roman"/>
      <w:b/>
      <w:smallCaps/>
      <w:sz w:val="24"/>
      <w:szCs w:val="24"/>
      <w:u w:val="single"/>
      <w:lang w:val="en-GB" w:eastAsia="nl-NL"/>
    </w:rPr>
  </w:style>
  <w:style w:type="paragraph" w:customStyle="1" w:styleId="ManualConsidrant">
    <w:name w:val="Manual Considérant"/>
    <w:basedOn w:val="Normal"/>
    <w:rsid w:val="00563148"/>
    <w:pPr>
      <w:spacing w:after="0" w:line="264" w:lineRule="auto"/>
      <w:ind w:left="709" w:hanging="709"/>
      <w:jc w:val="both"/>
    </w:pPr>
    <w:rPr>
      <w:rFonts w:ascii="Times New Roman" w:eastAsia="Times New Roman" w:hAnsi="Times New Roman" w:cs="Times New Roman"/>
      <w:sz w:val="24"/>
      <w:szCs w:val="24"/>
      <w:lang w:val="en-GB" w:eastAsia="en-GB"/>
    </w:rPr>
  </w:style>
  <w:style w:type="paragraph" w:customStyle="1" w:styleId="Point1">
    <w:name w:val="Point 1"/>
    <w:basedOn w:val="Normal"/>
    <w:rsid w:val="00563148"/>
    <w:pPr>
      <w:spacing w:after="0" w:line="264" w:lineRule="auto"/>
      <w:ind w:left="1417" w:hanging="567"/>
      <w:jc w:val="both"/>
    </w:pPr>
    <w:rPr>
      <w:rFonts w:ascii="Times New Roman" w:eastAsia="Times New Roman" w:hAnsi="Times New Roman" w:cs="Times New Roman"/>
      <w:sz w:val="24"/>
      <w:szCs w:val="24"/>
      <w:lang w:val="en-GB" w:eastAsia="en-GB"/>
    </w:rPr>
  </w:style>
  <w:style w:type="paragraph" w:customStyle="1" w:styleId="Para1">
    <w:name w:val="Para1"/>
    <w:basedOn w:val="Style1"/>
    <w:link w:val="Para1Char"/>
    <w:rsid w:val="00563148"/>
    <w:pPr>
      <w:spacing w:before="360" w:after="120" w:line="264" w:lineRule="auto"/>
    </w:pPr>
    <w:rPr>
      <w:rFonts w:cs="Arial"/>
      <w:sz w:val="22"/>
      <w:szCs w:val="22"/>
    </w:rPr>
  </w:style>
  <w:style w:type="paragraph" w:customStyle="1" w:styleId="Para2">
    <w:name w:val="Para2"/>
    <w:basedOn w:val="Style1"/>
    <w:link w:val="Para2Char"/>
    <w:rsid w:val="00563148"/>
    <w:pPr>
      <w:spacing w:after="120" w:line="264" w:lineRule="auto"/>
    </w:pPr>
    <w:rPr>
      <w:rFonts w:cs="Arial"/>
      <w:i/>
      <w:smallCaps w:val="0"/>
      <w:sz w:val="22"/>
      <w:szCs w:val="22"/>
    </w:rPr>
  </w:style>
  <w:style w:type="character" w:customStyle="1" w:styleId="Para1Char">
    <w:name w:val="Para1 Char"/>
    <w:link w:val="Para1"/>
    <w:rsid w:val="00563148"/>
    <w:rPr>
      <w:rFonts w:ascii="Arial" w:eastAsia="Times New Roman" w:hAnsi="Arial" w:cs="Arial"/>
      <w:b/>
      <w:smallCaps/>
      <w:u w:val="single"/>
      <w:lang w:val="en-GB" w:eastAsia="nl-NL"/>
    </w:rPr>
  </w:style>
  <w:style w:type="character" w:customStyle="1" w:styleId="Para2Char">
    <w:name w:val="Para2 Char"/>
    <w:link w:val="Para2"/>
    <w:rsid w:val="00563148"/>
    <w:rPr>
      <w:rFonts w:ascii="Arial" w:eastAsia="Times New Roman" w:hAnsi="Arial" w:cs="Arial"/>
      <w:b/>
      <w:i/>
      <w:u w:val="single"/>
      <w:lang w:val="en-GB" w:eastAsia="nl-NL"/>
    </w:rPr>
  </w:style>
  <w:style w:type="paragraph" w:customStyle="1" w:styleId="Text1">
    <w:name w:val="Text 1"/>
    <w:basedOn w:val="Normal"/>
    <w:rsid w:val="00563148"/>
    <w:pPr>
      <w:widowControl w:val="0"/>
      <w:spacing w:after="0" w:line="360" w:lineRule="auto"/>
      <w:ind w:left="850" w:right="-22"/>
      <w:jc w:val="both"/>
    </w:pPr>
    <w:rPr>
      <w:rFonts w:ascii="Arial" w:eastAsia="Times New Roman" w:hAnsi="Arial" w:cs="Times New Roman"/>
      <w:sz w:val="20"/>
      <w:szCs w:val="20"/>
      <w:lang w:val="en-GB" w:eastAsia="en-GB"/>
    </w:rPr>
  </w:style>
  <w:style w:type="paragraph" w:customStyle="1" w:styleId="ManualNumPar1">
    <w:name w:val="Manual NumPar 1"/>
    <w:basedOn w:val="Normal"/>
    <w:next w:val="Text1"/>
    <w:rsid w:val="00563148"/>
    <w:pPr>
      <w:widowControl w:val="0"/>
      <w:spacing w:after="0" w:line="360" w:lineRule="auto"/>
      <w:ind w:left="850" w:right="-22" w:hanging="850"/>
      <w:jc w:val="both"/>
    </w:pPr>
    <w:rPr>
      <w:rFonts w:ascii="Arial" w:eastAsia="Times New Roman" w:hAnsi="Arial" w:cs="Times New Roman"/>
      <w:sz w:val="20"/>
      <w:szCs w:val="20"/>
      <w:lang w:val="en-GB" w:eastAsia="en-GB"/>
    </w:rPr>
  </w:style>
  <w:style w:type="paragraph" w:customStyle="1" w:styleId="EHead0">
    <w:name w:val="E Head0"/>
    <w:basedOn w:val="Style1"/>
    <w:link w:val="EHead0Char"/>
    <w:qFormat/>
    <w:rsid w:val="00563148"/>
    <w:pPr>
      <w:spacing w:before="360" w:after="120" w:line="240" w:lineRule="auto"/>
      <w:ind w:right="-28"/>
      <w:jc w:val="center"/>
    </w:pPr>
    <w:rPr>
      <w:rFonts w:ascii="Calibri" w:hAnsi="Calibri" w:cs="Calibri"/>
      <w:i/>
      <w:smallCaps w:val="0"/>
      <w:color w:val="666666"/>
      <w:sz w:val="36"/>
      <w:szCs w:val="32"/>
      <w:u w:val="none"/>
    </w:rPr>
  </w:style>
  <w:style w:type="paragraph" w:customStyle="1" w:styleId="EHeader">
    <w:name w:val="E Header"/>
    <w:basedOn w:val="Normal"/>
    <w:link w:val="EHeaderChar"/>
    <w:rsid w:val="00563148"/>
    <w:pPr>
      <w:widowControl w:val="0"/>
      <w:spacing w:after="0" w:line="264" w:lineRule="auto"/>
      <w:ind w:right="-23"/>
      <w:jc w:val="right"/>
    </w:pPr>
    <w:rPr>
      <w:rFonts w:ascii="Calibri" w:eastAsia="Times New Roman" w:hAnsi="Calibri" w:cs="Times New Roman"/>
      <w:sz w:val="20"/>
      <w:szCs w:val="18"/>
      <w:lang w:val="en-GB" w:eastAsia="nl-NL"/>
    </w:rPr>
  </w:style>
  <w:style w:type="character" w:customStyle="1" w:styleId="EHead0Char">
    <w:name w:val="E Head0 Char"/>
    <w:link w:val="EHead0"/>
    <w:rsid w:val="00563148"/>
    <w:rPr>
      <w:rFonts w:ascii="Calibri" w:eastAsia="Times New Roman" w:hAnsi="Calibri" w:cs="Calibri"/>
      <w:b/>
      <w:i/>
      <w:color w:val="666666"/>
      <w:sz w:val="36"/>
      <w:szCs w:val="32"/>
      <w:lang w:val="en-GB" w:eastAsia="nl-NL"/>
    </w:rPr>
  </w:style>
  <w:style w:type="character" w:customStyle="1" w:styleId="EHeaderChar">
    <w:name w:val="E Header Char"/>
    <w:link w:val="EHeader"/>
    <w:rsid w:val="00563148"/>
    <w:rPr>
      <w:rFonts w:ascii="Calibri" w:eastAsia="Times New Roman" w:hAnsi="Calibri" w:cs="Times New Roman"/>
      <w:sz w:val="20"/>
      <w:szCs w:val="18"/>
      <w:lang w:val="en-GB" w:eastAsia="nl-NL"/>
    </w:rPr>
  </w:style>
  <w:style w:type="paragraph" w:customStyle="1" w:styleId="Txt">
    <w:name w:val="Txt"/>
    <w:basedOn w:val="Normal"/>
    <w:link w:val="TxtChar"/>
    <w:rsid w:val="00563148"/>
    <w:pPr>
      <w:widowControl w:val="0"/>
      <w:spacing w:after="0" w:line="288" w:lineRule="auto"/>
      <w:ind w:right="-23"/>
      <w:jc w:val="both"/>
    </w:pPr>
    <w:rPr>
      <w:rFonts w:ascii="Calibri" w:eastAsia="Times New Roman" w:hAnsi="Calibri" w:cs="Calibri"/>
      <w:sz w:val="24"/>
      <w:szCs w:val="24"/>
      <w:lang w:val="cs-CZ" w:eastAsia="nl-NL"/>
    </w:rPr>
  </w:style>
  <w:style w:type="character" w:customStyle="1" w:styleId="TxtChar">
    <w:name w:val="Txt Char"/>
    <w:link w:val="Txt"/>
    <w:rsid w:val="00563148"/>
    <w:rPr>
      <w:rFonts w:ascii="Calibri" w:eastAsia="Times New Roman" w:hAnsi="Calibri" w:cs="Calibri"/>
      <w:sz w:val="24"/>
      <w:szCs w:val="24"/>
      <w:lang w:val="cs-CZ" w:eastAsia="nl-NL"/>
    </w:rPr>
  </w:style>
  <w:style w:type="paragraph" w:customStyle="1" w:styleId="Header0">
    <w:name w:val="Header0"/>
    <w:basedOn w:val="EHead0"/>
    <w:rsid w:val="00563148"/>
    <w:pPr>
      <w:ind w:right="-306"/>
    </w:pPr>
    <w:rPr>
      <w:rFonts w:cs="Arial"/>
    </w:rPr>
  </w:style>
  <w:style w:type="paragraph" w:customStyle="1" w:styleId="Header1">
    <w:name w:val="Header1"/>
    <w:basedOn w:val="Normal"/>
    <w:rsid w:val="00563148"/>
    <w:pPr>
      <w:spacing w:after="0" w:line="264" w:lineRule="auto"/>
      <w:ind w:right="-306"/>
      <w:jc w:val="both"/>
    </w:pPr>
    <w:rPr>
      <w:rFonts w:ascii="Arial" w:eastAsiaTheme="minorEastAsia" w:hAnsi="Arial" w:cs="Arial"/>
      <w:b/>
      <w:bCs/>
      <w:i/>
      <w:sz w:val="24"/>
      <w:szCs w:val="24"/>
      <w:lang w:val="en-GB" w:eastAsia="en-GB"/>
    </w:rPr>
  </w:style>
  <w:style w:type="character" w:styleId="PageNumber">
    <w:name w:val="page number"/>
    <w:basedOn w:val="DefaultParagraphFont"/>
    <w:rsid w:val="00563148"/>
  </w:style>
  <w:style w:type="paragraph" w:styleId="NormalWeb">
    <w:name w:val="Normal (Web)"/>
    <w:basedOn w:val="Normal"/>
    <w:uiPriority w:val="99"/>
    <w:unhideWhenUsed/>
    <w:rsid w:val="00563148"/>
    <w:pPr>
      <w:spacing w:before="100" w:beforeAutospacing="1" w:after="100" w:afterAutospacing="1" w:line="264" w:lineRule="auto"/>
      <w:jc w:val="both"/>
    </w:pPr>
    <w:rPr>
      <w:rFonts w:ascii="Times New Roman" w:eastAsia="Times New Roman" w:hAnsi="Times New Roman" w:cs="Times New Roman"/>
      <w:sz w:val="24"/>
      <w:szCs w:val="24"/>
      <w:lang w:eastAsia="en-GB"/>
    </w:rPr>
  </w:style>
  <w:style w:type="paragraph" w:styleId="DocumentMap">
    <w:name w:val="Document Map"/>
    <w:basedOn w:val="Normal"/>
    <w:link w:val="DocumentMapChar"/>
    <w:uiPriority w:val="99"/>
    <w:semiHidden/>
    <w:unhideWhenUsed/>
    <w:rsid w:val="00563148"/>
    <w:pPr>
      <w:spacing w:after="0" w:line="264" w:lineRule="auto"/>
      <w:jc w:val="both"/>
    </w:pPr>
    <w:rPr>
      <w:rFonts w:ascii="Tahoma" w:eastAsiaTheme="minorEastAsia" w:hAnsi="Tahoma" w:cs="Tahoma"/>
      <w:sz w:val="16"/>
      <w:szCs w:val="16"/>
      <w:lang w:val="en-GB" w:eastAsia="en-GB"/>
    </w:rPr>
  </w:style>
  <w:style w:type="character" w:customStyle="1" w:styleId="DocumentMapChar">
    <w:name w:val="Document Map Char"/>
    <w:basedOn w:val="DefaultParagraphFont"/>
    <w:link w:val="DocumentMap"/>
    <w:uiPriority w:val="99"/>
    <w:semiHidden/>
    <w:rsid w:val="00563148"/>
    <w:rPr>
      <w:rFonts w:ascii="Tahoma" w:eastAsiaTheme="minorEastAsia" w:hAnsi="Tahoma" w:cs="Tahoma"/>
      <w:sz w:val="16"/>
      <w:szCs w:val="16"/>
      <w:lang w:val="en-GB" w:eastAsia="en-GB"/>
    </w:rPr>
  </w:style>
  <w:style w:type="table" w:styleId="LightShading-Accent3">
    <w:name w:val="Light Shading Accent 3"/>
    <w:basedOn w:val="TableNormal"/>
    <w:uiPriority w:val="60"/>
    <w:rsid w:val="00563148"/>
    <w:pPr>
      <w:spacing w:after="0" w:line="240" w:lineRule="auto"/>
    </w:pPr>
    <w:rPr>
      <w:rFonts w:ascii="Calibri" w:eastAsiaTheme="minorEastAsia" w:hAnsi="Calibri" w:cs="Times New Roman"/>
      <w:color w:val="76923C"/>
      <w:sz w:val="20"/>
      <w:szCs w:val="20"/>
      <w:lang w:eastAsia="zh-CN"/>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rsid w:val="00563148"/>
    <w:pPr>
      <w:spacing w:after="0" w:line="240" w:lineRule="auto"/>
    </w:pPr>
    <w:rPr>
      <w:rFonts w:ascii="Calibri" w:eastAsiaTheme="minorEastAsia" w:hAnsi="Calibri" w:cs="Times New Roman"/>
      <w:sz w:val="20"/>
      <w:szCs w:val="20"/>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EHead2">
    <w:name w:val="E Head2"/>
    <w:basedOn w:val="Style1"/>
    <w:link w:val="EHead2Char"/>
    <w:qFormat/>
    <w:rsid w:val="00563148"/>
    <w:pPr>
      <w:spacing w:before="60" w:after="0" w:line="240" w:lineRule="auto"/>
      <w:ind w:right="-28"/>
      <w:outlineLvl w:val="9"/>
    </w:pPr>
    <w:rPr>
      <w:rFonts w:ascii="Calibri" w:hAnsi="Calibri"/>
      <w:b w:val="0"/>
      <w:smallCaps w:val="0"/>
      <w:u w:val="none"/>
    </w:rPr>
  </w:style>
  <w:style w:type="paragraph" w:customStyle="1" w:styleId="EHead1">
    <w:name w:val="E Head1"/>
    <w:basedOn w:val="Style1"/>
    <w:link w:val="EHead1Char"/>
    <w:qFormat/>
    <w:rsid w:val="00563148"/>
    <w:pPr>
      <w:spacing w:before="120" w:after="60" w:line="240" w:lineRule="auto"/>
    </w:pPr>
    <w:rPr>
      <w:rFonts w:ascii="Calibri" w:hAnsi="Calibri" w:cs="Calibri"/>
      <w:smallCaps w:val="0"/>
      <w:color w:val="000000"/>
      <w:u w:val="none"/>
    </w:rPr>
  </w:style>
  <w:style w:type="character" w:customStyle="1" w:styleId="EHead2Char">
    <w:name w:val="E Head2 Char"/>
    <w:link w:val="EHead2"/>
    <w:rsid w:val="00563148"/>
    <w:rPr>
      <w:rFonts w:ascii="Calibri" w:eastAsia="Times New Roman" w:hAnsi="Calibri" w:cs="Times New Roman"/>
      <w:sz w:val="24"/>
      <w:szCs w:val="24"/>
      <w:lang w:val="en-GB" w:eastAsia="nl-NL"/>
    </w:rPr>
  </w:style>
  <w:style w:type="character" w:customStyle="1" w:styleId="EHead1Char">
    <w:name w:val="E Head1 Char"/>
    <w:link w:val="EHead1"/>
    <w:rsid w:val="00563148"/>
    <w:rPr>
      <w:rFonts w:ascii="Calibri" w:eastAsia="Times New Roman" w:hAnsi="Calibri" w:cs="Calibri"/>
      <w:b/>
      <w:color w:val="000000"/>
      <w:sz w:val="24"/>
      <w:szCs w:val="24"/>
      <w:lang w:val="en-GB" w:eastAsia="nl-NL"/>
    </w:rPr>
  </w:style>
  <w:style w:type="paragraph" w:customStyle="1" w:styleId="EHead3">
    <w:name w:val="E Head3"/>
    <w:basedOn w:val="Style1"/>
    <w:link w:val="EHead3Char"/>
    <w:qFormat/>
    <w:rsid w:val="00563148"/>
    <w:pPr>
      <w:spacing w:before="60" w:after="0" w:line="240" w:lineRule="auto"/>
      <w:ind w:right="-28"/>
      <w:outlineLvl w:val="9"/>
    </w:pPr>
    <w:rPr>
      <w:rFonts w:ascii="Calibri" w:hAnsi="Calibri" w:cs="Calibri"/>
      <w:b w:val="0"/>
      <w:smallCaps w:val="0"/>
      <w:color w:val="000000"/>
      <w:szCs w:val="22"/>
      <w:u w:val="none"/>
    </w:rPr>
  </w:style>
  <w:style w:type="character" w:customStyle="1" w:styleId="EHead3Char">
    <w:name w:val="E Head3 Char"/>
    <w:link w:val="EHead3"/>
    <w:rsid w:val="00563148"/>
    <w:rPr>
      <w:rFonts w:ascii="Calibri" w:eastAsia="Times New Roman" w:hAnsi="Calibri" w:cs="Calibri"/>
      <w:color w:val="000000"/>
      <w:sz w:val="24"/>
      <w:lang w:val="en-GB" w:eastAsia="nl-NL"/>
    </w:rPr>
  </w:style>
  <w:style w:type="paragraph" w:customStyle="1" w:styleId="EHead4">
    <w:name w:val="E Head4"/>
    <w:basedOn w:val="Style1"/>
    <w:link w:val="EHead4Char"/>
    <w:qFormat/>
    <w:rsid w:val="00563148"/>
    <w:pPr>
      <w:spacing w:before="60" w:after="0" w:line="240" w:lineRule="auto"/>
      <w:ind w:right="-28"/>
      <w:outlineLvl w:val="9"/>
    </w:pPr>
    <w:rPr>
      <w:rFonts w:ascii="Calibri" w:hAnsi="Calibri"/>
      <w:b w:val="0"/>
      <w:smallCaps w:val="0"/>
      <w:u w:val="none"/>
    </w:rPr>
  </w:style>
  <w:style w:type="paragraph" w:customStyle="1" w:styleId="head5">
    <w:name w:val="head5"/>
    <w:basedOn w:val="EHead4"/>
    <w:link w:val="head5Char"/>
    <w:rsid w:val="00563148"/>
    <w:pPr>
      <w:numPr>
        <w:ilvl w:val="2"/>
        <w:numId w:val="2"/>
      </w:numPr>
      <w:ind w:left="3240"/>
    </w:pPr>
    <w:rPr>
      <w:i/>
    </w:rPr>
  </w:style>
  <w:style w:type="character" w:customStyle="1" w:styleId="EHead4Char">
    <w:name w:val="E Head4 Char"/>
    <w:link w:val="EHead4"/>
    <w:rsid w:val="00563148"/>
    <w:rPr>
      <w:rFonts w:ascii="Calibri" w:eastAsia="Times New Roman" w:hAnsi="Calibri" w:cs="Times New Roman"/>
      <w:sz w:val="24"/>
      <w:szCs w:val="24"/>
      <w:lang w:val="en-GB" w:eastAsia="nl-NL"/>
    </w:rPr>
  </w:style>
  <w:style w:type="character" w:customStyle="1" w:styleId="head5Char">
    <w:name w:val="head5 Char"/>
    <w:link w:val="head5"/>
    <w:rsid w:val="00563148"/>
    <w:rPr>
      <w:rFonts w:ascii="Calibri" w:eastAsia="Times New Roman" w:hAnsi="Calibri" w:cs="Times New Roman"/>
      <w:i/>
      <w:sz w:val="24"/>
      <w:szCs w:val="24"/>
      <w:lang w:val="en-GB" w:eastAsia="nl-NL"/>
    </w:rPr>
  </w:style>
  <w:style w:type="paragraph" w:styleId="Subtitle">
    <w:name w:val="Subtitle"/>
    <w:aliases w:val="E Figure_title"/>
    <w:basedOn w:val="Normal"/>
    <w:next w:val="Normal"/>
    <w:link w:val="SubtitleChar"/>
    <w:uiPriority w:val="11"/>
    <w:qFormat/>
    <w:rsid w:val="00563148"/>
    <w:pPr>
      <w:spacing w:after="0" w:line="264" w:lineRule="auto"/>
      <w:jc w:val="both"/>
    </w:pPr>
    <w:rPr>
      <w:rFonts w:ascii="Calibri" w:eastAsia="Times New Roman" w:hAnsi="Calibri" w:cs="Calibri"/>
      <w:i/>
      <w:sz w:val="24"/>
      <w:szCs w:val="24"/>
      <w:lang w:val="en-GB" w:eastAsia="en-GB"/>
    </w:rPr>
  </w:style>
  <w:style w:type="character" w:customStyle="1" w:styleId="SubtitleChar">
    <w:name w:val="Subtitle Char"/>
    <w:aliases w:val="E Figure_title Char"/>
    <w:basedOn w:val="DefaultParagraphFont"/>
    <w:link w:val="Subtitle"/>
    <w:uiPriority w:val="11"/>
    <w:rsid w:val="00563148"/>
    <w:rPr>
      <w:rFonts w:ascii="Calibri" w:eastAsia="Times New Roman" w:hAnsi="Calibri" w:cs="Calibri"/>
      <w:i/>
      <w:sz w:val="24"/>
      <w:szCs w:val="24"/>
      <w:lang w:val="en-GB" w:eastAsia="en-GB"/>
    </w:rPr>
  </w:style>
  <w:style w:type="paragraph" w:customStyle="1" w:styleId="EHead0Sub">
    <w:name w:val="E Head0_Sub"/>
    <w:basedOn w:val="Style1"/>
    <w:link w:val="EHead0SubChar"/>
    <w:qFormat/>
    <w:rsid w:val="00563148"/>
    <w:pPr>
      <w:spacing w:after="60" w:line="240" w:lineRule="auto"/>
      <w:ind w:right="-28"/>
      <w:jc w:val="center"/>
    </w:pPr>
    <w:rPr>
      <w:rFonts w:ascii="Calibri" w:hAnsi="Calibri" w:cs="Calibri"/>
      <w:smallCaps w:val="0"/>
      <w:sz w:val="32"/>
      <w:szCs w:val="32"/>
      <w:u w:val="none"/>
    </w:rPr>
  </w:style>
  <w:style w:type="character" w:customStyle="1" w:styleId="EHead0SubChar">
    <w:name w:val="E Head0_Sub Char"/>
    <w:link w:val="EHead0Sub"/>
    <w:rsid w:val="00563148"/>
    <w:rPr>
      <w:rFonts w:ascii="Calibri" w:eastAsia="Times New Roman" w:hAnsi="Calibri" w:cs="Calibri"/>
      <w:b/>
      <w:sz w:val="32"/>
      <w:szCs w:val="32"/>
      <w:lang w:val="en-GB" w:eastAsia="nl-NL"/>
    </w:rPr>
  </w:style>
  <w:style w:type="character" w:styleId="SubtleEmphasis">
    <w:name w:val="Subtle Emphasis"/>
    <w:aliases w:val="E Footer,ENTSOG Footer"/>
    <w:uiPriority w:val="19"/>
    <w:qFormat/>
    <w:rsid w:val="00563148"/>
    <w:rPr>
      <w:rFonts w:ascii="Calibri" w:hAnsi="Calibri"/>
      <w:i/>
      <w:iCs/>
      <w:color w:val="auto"/>
      <w:sz w:val="18"/>
      <w:lang w:val="en-GB"/>
    </w:rPr>
  </w:style>
  <w:style w:type="character" w:customStyle="1" w:styleId="E2LevelCarattere">
    <w:name w:val="E 2 Level Carattere"/>
    <w:link w:val="E2Level"/>
    <w:rsid w:val="00563148"/>
    <w:rPr>
      <w:rFonts w:ascii="Calibri" w:eastAsia="Times New Roman" w:hAnsi="Calibri" w:cs="Times New Roman"/>
      <w:b/>
      <w:bCs/>
      <w:sz w:val="24"/>
      <w:szCs w:val="18"/>
      <w:lang w:val="en-GB" w:eastAsia="en-GB"/>
    </w:rPr>
  </w:style>
  <w:style w:type="paragraph" w:customStyle="1" w:styleId="Style2">
    <w:name w:val="Style2"/>
    <w:basedOn w:val="EHead0"/>
    <w:link w:val="Style2Char"/>
    <w:rsid w:val="00563148"/>
    <w:pPr>
      <w:jc w:val="left"/>
    </w:pPr>
  </w:style>
  <w:style w:type="character" w:customStyle="1" w:styleId="Style2Char">
    <w:name w:val="Style2 Char"/>
    <w:link w:val="Style2"/>
    <w:rsid w:val="00563148"/>
    <w:rPr>
      <w:rFonts w:ascii="Calibri" w:eastAsia="Times New Roman" w:hAnsi="Calibri" w:cs="Calibri"/>
      <w:b/>
      <w:i/>
      <w:color w:val="666666"/>
      <w:sz w:val="36"/>
      <w:szCs w:val="32"/>
      <w:lang w:val="en-GB" w:eastAsia="nl-NL"/>
    </w:rPr>
  </w:style>
  <w:style w:type="numbering" w:customStyle="1" w:styleId="Entsogmultilevels">
    <w:name w:val="Entsog multi levels"/>
    <w:uiPriority w:val="99"/>
    <w:rsid w:val="00563148"/>
    <w:pPr>
      <w:numPr>
        <w:numId w:val="3"/>
      </w:numPr>
    </w:pPr>
  </w:style>
  <w:style w:type="numbering" w:customStyle="1" w:styleId="Entsogtest3">
    <w:name w:val="Entsog test 3"/>
    <w:uiPriority w:val="99"/>
    <w:rsid w:val="00563148"/>
    <w:pPr>
      <w:numPr>
        <w:numId w:val="4"/>
      </w:numPr>
    </w:pPr>
  </w:style>
  <w:style w:type="paragraph" w:customStyle="1" w:styleId="EHeader0">
    <w:name w:val="E  Header"/>
    <w:basedOn w:val="Normal"/>
    <w:link w:val="EHeaderChar0"/>
    <w:rsid w:val="00563148"/>
    <w:pPr>
      <w:widowControl w:val="0"/>
      <w:spacing w:after="0" w:line="264" w:lineRule="auto"/>
      <w:jc w:val="right"/>
    </w:pPr>
    <w:rPr>
      <w:rFonts w:ascii="Calibri" w:eastAsia="Times New Roman" w:hAnsi="Calibri" w:cs="Times New Roman"/>
      <w:sz w:val="20"/>
      <w:szCs w:val="18"/>
      <w:lang w:val="en-GB" w:eastAsia="nl-NL"/>
    </w:rPr>
  </w:style>
  <w:style w:type="character" w:customStyle="1" w:styleId="EHeaderChar0">
    <w:name w:val="E  Header Char"/>
    <w:link w:val="EHeader0"/>
    <w:rsid w:val="00563148"/>
    <w:rPr>
      <w:rFonts w:ascii="Calibri" w:eastAsia="Times New Roman" w:hAnsi="Calibri" w:cs="Times New Roman"/>
      <w:sz w:val="20"/>
      <w:szCs w:val="18"/>
      <w:lang w:val="en-GB" w:eastAsia="nl-NL"/>
    </w:rPr>
  </w:style>
  <w:style w:type="table" w:styleId="LightList">
    <w:name w:val="Light List"/>
    <w:aliases w:val="E Table"/>
    <w:basedOn w:val="TableNormal"/>
    <w:uiPriority w:val="61"/>
    <w:rsid w:val="00563148"/>
    <w:pPr>
      <w:spacing w:after="0" w:line="240" w:lineRule="auto"/>
    </w:pPr>
    <w:rPr>
      <w:rFonts w:ascii="Calibri" w:eastAsiaTheme="minorEastAsia" w:hAnsi="Calibri" w:cs="Times New Roman"/>
      <w:sz w:val="20"/>
      <w:szCs w:val="20"/>
      <w:lang w:eastAsia="zh-CN"/>
    </w:rPr>
    <w:tblPr>
      <w:tblStyleRowBandSize w:val="1"/>
      <w:tblStyleColBandSize w:val="1"/>
      <w:tblBorders>
        <w:top w:val="single" w:sz="8" w:space="0" w:color="1F4484"/>
        <w:left w:val="single" w:sz="8" w:space="0" w:color="1F4484"/>
        <w:bottom w:val="single" w:sz="8" w:space="0" w:color="1F4484"/>
        <w:right w:val="single" w:sz="8" w:space="0" w:color="1F4484"/>
      </w:tblBorders>
    </w:tblPr>
    <w:tblStylePr w:type="firstRow">
      <w:pPr>
        <w:spacing w:before="0" w:after="0" w:line="240" w:lineRule="auto"/>
      </w:pPr>
      <w:rPr>
        <w:b/>
        <w:bCs/>
        <w:color w:val="FFFFFF"/>
      </w:rPr>
      <w:tblPr/>
      <w:tcPr>
        <w:shd w:val="clear" w:color="auto" w:fill="1F4484"/>
      </w:tcPr>
    </w:tblStylePr>
    <w:tblStylePr w:type="lastRow">
      <w:pPr>
        <w:spacing w:before="0" w:after="0" w:line="240" w:lineRule="auto"/>
      </w:pPr>
      <w:rPr>
        <w:b/>
        <w:bCs/>
      </w:rPr>
      <w:tblPr/>
      <w:tcPr>
        <w:tcBorders>
          <w:top w:val="double" w:sz="6" w:space="0" w:color="1F4484"/>
          <w:left w:val="single" w:sz="8" w:space="0" w:color="1F4484"/>
          <w:bottom w:val="single" w:sz="8" w:space="0" w:color="1F4484"/>
          <w:right w:val="single" w:sz="8" w:space="0" w:color="1F4484"/>
        </w:tcBorders>
      </w:tcPr>
    </w:tblStylePr>
    <w:tblStylePr w:type="firstCol">
      <w:rPr>
        <w:b/>
        <w:bCs/>
      </w:rPr>
    </w:tblStylePr>
    <w:tblStylePr w:type="lastCol">
      <w:rPr>
        <w:b/>
        <w:bCs/>
      </w:rPr>
    </w:tblStylePr>
    <w:tblStylePr w:type="band1Vert">
      <w:tblPr/>
      <w:tcPr>
        <w:tcBorders>
          <w:top w:val="single" w:sz="8" w:space="0" w:color="1F4484"/>
          <w:left w:val="single" w:sz="8" w:space="0" w:color="1F4484"/>
          <w:bottom w:val="single" w:sz="8" w:space="0" w:color="1F4484"/>
          <w:right w:val="single" w:sz="8" w:space="0" w:color="1F4484"/>
        </w:tcBorders>
      </w:tcPr>
    </w:tblStylePr>
    <w:tblStylePr w:type="band1Horz">
      <w:tblPr/>
      <w:tcPr>
        <w:tcBorders>
          <w:top w:val="single" w:sz="8" w:space="0" w:color="1F4484"/>
          <w:left w:val="single" w:sz="8" w:space="0" w:color="1F4484"/>
          <w:bottom w:val="single" w:sz="8" w:space="0" w:color="1F4484"/>
          <w:right w:val="single" w:sz="8" w:space="0" w:color="1F4484"/>
        </w:tcBorders>
      </w:tcPr>
    </w:tblStylePr>
  </w:style>
  <w:style w:type="paragraph" w:styleId="Caption">
    <w:name w:val="caption"/>
    <w:basedOn w:val="Normal"/>
    <w:next w:val="Normal"/>
    <w:uiPriority w:val="35"/>
    <w:unhideWhenUsed/>
    <w:qFormat/>
    <w:rsid w:val="00563148"/>
    <w:pPr>
      <w:spacing w:after="200" w:line="264" w:lineRule="auto"/>
      <w:jc w:val="both"/>
    </w:pPr>
    <w:rPr>
      <w:rFonts w:ascii="Calibri" w:eastAsiaTheme="minorEastAsia" w:hAnsi="Calibri" w:cs="Times New Roman"/>
      <w:b/>
      <w:bCs/>
      <w:color w:val="1F4484"/>
      <w:sz w:val="18"/>
      <w:szCs w:val="18"/>
      <w:lang w:val="en-GB" w:eastAsia="en-GB"/>
    </w:rPr>
  </w:style>
  <w:style w:type="numbering" w:customStyle="1" w:styleId="EBullets">
    <w:name w:val="E Bullets"/>
    <w:uiPriority w:val="99"/>
    <w:rsid w:val="00563148"/>
    <w:pPr>
      <w:numPr>
        <w:numId w:val="5"/>
      </w:numPr>
    </w:pPr>
  </w:style>
  <w:style w:type="paragraph" w:customStyle="1" w:styleId="EBulletH2">
    <w:name w:val="E Bullet H2"/>
    <w:basedOn w:val="ListParagraph"/>
    <w:link w:val="EBulletH2Char"/>
    <w:rsid w:val="00563148"/>
    <w:pPr>
      <w:numPr>
        <w:numId w:val="6"/>
      </w:numPr>
      <w:spacing w:after="0" w:line="264" w:lineRule="auto"/>
      <w:contextualSpacing w:val="0"/>
      <w:jc w:val="both"/>
    </w:pPr>
    <w:rPr>
      <w:rFonts w:ascii="Calibri" w:eastAsiaTheme="minorEastAsia" w:hAnsi="Calibri" w:cs="Times New Roman"/>
      <w:sz w:val="24"/>
      <w:szCs w:val="24"/>
      <w:lang w:val="en-GB" w:eastAsia="en-GB"/>
    </w:rPr>
  </w:style>
  <w:style w:type="character" w:customStyle="1" w:styleId="EBulletH2Char">
    <w:name w:val="E Bullet H2 Char"/>
    <w:basedOn w:val="ListParagraphChar"/>
    <w:link w:val="EBulletH2"/>
    <w:rsid w:val="00563148"/>
    <w:rPr>
      <w:rFonts w:ascii="Calibri" w:eastAsiaTheme="minorEastAsia" w:hAnsi="Calibri" w:cs="Times New Roman"/>
      <w:sz w:val="24"/>
      <w:szCs w:val="24"/>
      <w:lang w:val="en-GB" w:eastAsia="en-GB"/>
    </w:rPr>
  </w:style>
  <w:style w:type="character" w:customStyle="1" w:styleId="E3LevelChar">
    <w:name w:val="E 3 Level Char"/>
    <w:link w:val="E3Level"/>
    <w:rsid w:val="00563148"/>
    <w:rPr>
      <w:rFonts w:ascii="Calibri" w:eastAsia="Times New Roman" w:hAnsi="Calibri" w:cs="Times New Roman"/>
      <w:b/>
      <w:bCs/>
      <w:sz w:val="24"/>
      <w:szCs w:val="18"/>
      <w:lang w:val="en-GB" w:eastAsia="en-GB"/>
    </w:rPr>
  </w:style>
  <w:style w:type="character" w:customStyle="1" w:styleId="E4LevelChar">
    <w:name w:val="E 4 Level Char"/>
    <w:link w:val="E4Level"/>
    <w:rsid w:val="00563148"/>
    <w:rPr>
      <w:rFonts w:ascii="Calibri" w:eastAsia="Times New Roman" w:hAnsi="Calibri" w:cs="Times New Roman"/>
      <w:b/>
      <w:bCs/>
      <w:sz w:val="24"/>
      <w:szCs w:val="18"/>
      <w:lang w:val="en-GB" w:eastAsia="en-GB"/>
    </w:rPr>
  </w:style>
  <w:style w:type="character" w:customStyle="1" w:styleId="E5LevelChar">
    <w:name w:val="E 5 Level Char"/>
    <w:link w:val="E5Level"/>
    <w:rsid w:val="00563148"/>
    <w:rPr>
      <w:rFonts w:ascii="Calibri" w:eastAsia="Times New Roman" w:hAnsi="Calibri" w:cs="Times New Roman"/>
      <w:b/>
      <w:bCs/>
      <w:sz w:val="24"/>
      <w:szCs w:val="18"/>
      <w:lang w:val="en-GB" w:eastAsia="en-GB"/>
    </w:rPr>
  </w:style>
  <w:style w:type="paragraph" w:styleId="TOC1">
    <w:name w:val="toc 1"/>
    <w:basedOn w:val="Normal"/>
    <w:next w:val="Normal"/>
    <w:autoRedefine/>
    <w:uiPriority w:val="39"/>
    <w:unhideWhenUsed/>
    <w:rsid w:val="00563148"/>
    <w:pPr>
      <w:tabs>
        <w:tab w:val="left" w:pos="440"/>
        <w:tab w:val="right" w:pos="9639"/>
      </w:tabs>
      <w:spacing w:after="100" w:line="264" w:lineRule="auto"/>
      <w:ind w:right="-518"/>
      <w:jc w:val="both"/>
    </w:pPr>
    <w:rPr>
      <w:rFonts w:ascii="Calibri" w:eastAsiaTheme="minorEastAsia" w:hAnsi="Calibri" w:cs="Times New Roman"/>
      <w:sz w:val="24"/>
      <w:szCs w:val="24"/>
      <w:lang w:val="en-GB" w:eastAsia="en-GB"/>
    </w:rPr>
  </w:style>
  <w:style w:type="paragraph" w:customStyle="1" w:styleId="NumPar1">
    <w:name w:val="NumPar 1"/>
    <w:basedOn w:val="Normal"/>
    <w:next w:val="Text1"/>
    <w:rsid w:val="00563148"/>
    <w:pPr>
      <w:spacing w:before="120" w:after="120" w:line="240" w:lineRule="auto"/>
      <w:jc w:val="both"/>
    </w:pPr>
    <w:rPr>
      <w:rFonts w:ascii="Times New Roman" w:eastAsia="Times New Roman" w:hAnsi="Times New Roman" w:cs="Times New Roman"/>
      <w:sz w:val="24"/>
      <w:lang w:val="en-GB" w:eastAsia="en-GB"/>
    </w:rPr>
  </w:style>
  <w:style w:type="paragraph" w:customStyle="1" w:styleId="NumPar2">
    <w:name w:val="NumPar 2"/>
    <w:basedOn w:val="Normal"/>
    <w:next w:val="Text1"/>
    <w:rsid w:val="00563148"/>
    <w:pPr>
      <w:numPr>
        <w:ilvl w:val="1"/>
        <w:numId w:val="8"/>
      </w:numPr>
      <w:spacing w:before="120" w:after="120" w:line="240" w:lineRule="auto"/>
      <w:jc w:val="both"/>
    </w:pPr>
    <w:rPr>
      <w:rFonts w:ascii="Times New Roman" w:eastAsia="Times New Roman" w:hAnsi="Times New Roman" w:cs="Times New Roman"/>
      <w:sz w:val="24"/>
      <w:lang w:val="en-GB" w:eastAsia="en-GB"/>
    </w:rPr>
  </w:style>
  <w:style w:type="paragraph" w:customStyle="1" w:styleId="NumPar3">
    <w:name w:val="NumPar 3"/>
    <w:basedOn w:val="Normal"/>
    <w:next w:val="Text1"/>
    <w:rsid w:val="00563148"/>
    <w:pPr>
      <w:numPr>
        <w:ilvl w:val="2"/>
        <w:numId w:val="8"/>
      </w:numPr>
      <w:spacing w:before="120" w:after="120" w:line="240" w:lineRule="auto"/>
      <w:jc w:val="both"/>
    </w:pPr>
    <w:rPr>
      <w:rFonts w:ascii="Times New Roman" w:eastAsia="Times New Roman" w:hAnsi="Times New Roman" w:cs="Times New Roman"/>
      <w:sz w:val="24"/>
      <w:lang w:val="en-GB" w:eastAsia="en-GB"/>
    </w:rPr>
  </w:style>
  <w:style w:type="paragraph" w:customStyle="1" w:styleId="NumPar4">
    <w:name w:val="NumPar 4"/>
    <w:basedOn w:val="Normal"/>
    <w:next w:val="Text1"/>
    <w:rsid w:val="00563148"/>
    <w:pPr>
      <w:numPr>
        <w:ilvl w:val="3"/>
        <w:numId w:val="8"/>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0number">
    <w:name w:val="Point 0 (number)"/>
    <w:basedOn w:val="Normal"/>
    <w:rsid w:val="00563148"/>
    <w:pPr>
      <w:numPr>
        <w:numId w:val="7"/>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1number">
    <w:name w:val="Point 1 (number)"/>
    <w:basedOn w:val="Normal"/>
    <w:rsid w:val="00563148"/>
    <w:pPr>
      <w:numPr>
        <w:ilvl w:val="2"/>
        <w:numId w:val="7"/>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2number">
    <w:name w:val="Point 2 (number)"/>
    <w:basedOn w:val="Normal"/>
    <w:rsid w:val="00563148"/>
    <w:pPr>
      <w:numPr>
        <w:ilvl w:val="4"/>
        <w:numId w:val="7"/>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3number">
    <w:name w:val="Point 3 (number)"/>
    <w:basedOn w:val="Normal"/>
    <w:rsid w:val="00563148"/>
    <w:pPr>
      <w:numPr>
        <w:ilvl w:val="6"/>
        <w:numId w:val="7"/>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0letter">
    <w:name w:val="Point 0 (letter)"/>
    <w:basedOn w:val="Normal"/>
    <w:rsid w:val="00563148"/>
    <w:pPr>
      <w:numPr>
        <w:ilvl w:val="1"/>
        <w:numId w:val="7"/>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1letter">
    <w:name w:val="Point 1 (letter)"/>
    <w:basedOn w:val="Normal"/>
    <w:rsid w:val="00563148"/>
    <w:pPr>
      <w:numPr>
        <w:ilvl w:val="3"/>
        <w:numId w:val="7"/>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2letter">
    <w:name w:val="Point 2 (letter)"/>
    <w:basedOn w:val="Normal"/>
    <w:rsid w:val="00563148"/>
    <w:pPr>
      <w:numPr>
        <w:ilvl w:val="5"/>
        <w:numId w:val="7"/>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3letter">
    <w:name w:val="Point 3 (letter)"/>
    <w:basedOn w:val="Normal"/>
    <w:rsid w:val="00563148"/>
    <w:pPr>
      <w:numPr>
        <w:ilvl w:val="7"/>
        <w:numId w:val="7"/>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4letter">
    <w:name w:val="Point 4 (letter)"/>
    <w:basedOn w:val="Normal"/>
    <w:rsid w:val="00563148"/>
    <w:pPr>
      <w:numPr>
        <w:ilvl w:val="8"/>
        <w:numId w:val="7"/>
      </w:numPr>
      <w:spacing w:before="120" w:after="120" w:line="240" w:lineRule="auto"/>
      <w:jc w:val="both"/>
    </w:pPr>
    <w:rPr>
      <w:rFonts w:ascii="Times New Roman" w:eastAsia="Times New Roman" w:hAnsi="Times New Roman" w:cs="Times New Roman"/>
      <w:sz w:val="24"/>
      <w:lang w:val="en-GB" w:eastAsia="en-GB"/>
    </w:rPr>
  </w:style>
  <w:style w:type="paragraph" w:styleId="Signature">
    <w:name w:val="Signature"/>
    <w:link w:val="SignatureChar"/>
    <w:uiPriority w:val="99"/>
    <w:unhideWhenUsed/>
    <w:rsid w:val="00563148"/>
    <w:pPr>
      <w:spacing w:after="200" w:line="276" w:lineRule="auto"/>
    </w:pPr>
    <w:rPr>
      <w:rFonts w:ascii="Calibri" w:eastAsia="Calibri" w:hAnsi="Calibri" w:cs="Calibri"/>
      <w:color w:val="000000"/>
      <w:u w:color="000000"/>
    </w:rPr>
  </w:style>
  <w:style w:type="character" w:customStyle="1" w:styleId="SignatureChar">
    <w:name w:val="Signature Char"/>
    <w:basedOn w:val="DefaultParagraphFont"/>
    <w:link w:val="Signature"/>
    <w:uiPriority w:val="99"/>
    <w:rsid w:val="00563148"/>
    <w:rPr>
      <w:rFonts w:ascii="Calibri" w:eastAsia="Calibri" w:hAnsi="Calibri" w:cs="Calibri"/>
      <w:color w:val="000000"/>
      <w:u w:color="000000"/>
    </w:rPr>
  </w:style>
  <w:style w:type="paragraph" w:customStyle="1" w:styleId="Brdtekst">
    <w:name w:val="Brødtekst"/>
    <w:rsid w:val="00563148"/>
    <w:pPr>
      <w:spacing w:after="0" w:line="264" w:lineRule="auto"/>
      <w:jc w:val="both"/>
    </w:pPr>
    <w:rPr>
      <w:rFonts w:ascii="Calibri" w:eastAsia="Calibri" w:hAnsi="Calibri" w:cs="Calibri"/>
      <w:color w:val="000000"/>
      <w:sz w:val="24"/>
      <w:szCs w:val="24"/>
      <w:u w:color="000000"/>
    </w:rPr>
  </w:style>
  <w:style w:type="numbering" w:customStyle="1" w:styleId="List0">
    <w:name w:val="List 0"/>
    <w:rsid w:val="00563148"/>
    <w:pPr>
      <w:numPr>
        <w:numId w:val="9"/>
      </w:numPr>
    </w:pPr>
  </w:style>
  <w:style w:type="paragraph" w:customStyle="1" w:styleId="Headlinereport">
    <w:name w:val="Headline report"/>
    <w:basedOn w:val="ListParagraph"/>
    <w:link w:val="HeadlinereportChar"/>
    <w:qFormat/>
    <w:rsid w:val="00563148"/>
    <w:pPr>
      <w:numPr>
        <w:numId w:val="10"/>
      </w:numPr>
      <w:spacing w:before="120" w:after="120" w:line="240" w:lineRule="auto"/>
      <w:contextualSpacing w:val="0"/>
    </w:pPr>
    <w:rPr>
      <w:rFonts w:ascii="Calibri" w:eastAsiaTheme="minorEastAsia" w:hAnsi="Calibri" w:cs="Times New Roman"/>
      <w:b/>
      <w:sz w:val="28"/>
      <w:szCs w:val="28"/>
      <w:lang w:val="en-GB" w:eastAsia="en-GB"/>
    </w:rPr>
  </w:style>
  <w:style w:type="paragraph" w:customStyle="1" w:styleId="Headlinereport2">
    <w:name w:val="Headline report 2"/>
    <w:basedOn w:val="Signature"/>
    <w:link w:val="Headlinereport2Char"/>
    <w:qFormat/>
    <w:rsid w:val="00563148"/>
    <w:pPr>
      <w:spacing w:before="240"/>
      <w:jc w:val="both"/>
    </w:pPr>
    <w:rPr>
      <w:b/>
      <w:sz w:val="28"/>
      <w:szCs w:val="28"/>
    </w:rPr>
  </w:style>
  <w:style w:type="character" w:customStyle="1" w:styleId="HeadlinereportChar">
    <w:name w:val="Headline report Char"/>
    <w:basedOn w:val="ListParagraphChar"/>
    <w:link w:val="Headlinereport"/>
    <w:rsid w:val="00563148"/>
    <w:rPr>
      <w:rFonts w:ascii="Calibri" w:eastAsiaTheme="minorEastAsia" w:hAnsi="Calibri" w:cs="Times New Roman"/>
      <w:b/>
      <w:sz w:val="28"/>
      <w:szCs w:val="28"/>
      <w:lang w:val="en-GB" w:eastAsia="en-GB"/>
    </w:rPr>
  </w:style>
  <w:style w:type="paragraph" w:styleId="TOCHeading">
    <w:name w:val="TOC Heading"/>
    <w:basedOn w:val="Heading1"/>
    <w:next w:val="Normal"/>
    <w:uiPriority w:val="39"/>
    <w:unhideWhenUsed/>
    <w:qFormat/>
    <w:rsid w:val="00563148"/>
    <w:pPr>
      <w:keepNext/>
      <w:keepLines/>
      <w:spacing w:before="480" w:after="0"/>
      <w:ind w:left="0"/>
      <w:jc w:val="left"/>
      <w:outlineLvl w:val="9"/>
    </w:pPr>
    <w:rPr>
      <w:rFonts w:asciiTheme="majorHAnsi" w:eastAsiaTheme="majorEastAsia" w:hAnsiTheme="majorHAnsi" w:cstheme="majorBidi"/>
      <w:bCs/>
      <w:color w:val="2E74B5" w:themeColor="accent1" w:themeShade="BF"/>
      <w:sz w:val="28"/>
      <w:szCs w:val="28"/>
      <w:lang w:eastAsia="ja-JP"/>
    </w:rPr>
  </w:style>
  <w:style w:type="character" w:customStyle="1" w:styleId="Headlinereport2Char">
    <w:name w:val="Headline report 2 Char"/>
    <w:basedOn w:val="SignatureChar"/>
    <w:link w:val="Headlinereport2"/>
    <w:rsid w:val="00563148"/>
    <w:rPr>
      <w:rFonts w:ascii="Calibri" w:eastAsia="Calibri" w:hAnsi="Calibri" w:cs="Calibri"/>
      <w:b/>
      <w:color w:val="000000"/>
      <w:sz w:val="28"/>
      <w:szCs w:val="28"/>
      <w:u w:color="000000"/>
    </w:rPr>
  </w:style>
  <w:style w:type="paragraph" w:styleId="TOC2">
    <w:name w:val="toc 2"/>
    <w:basedOn w:val="Normal"/>
    <w:next w:val="Normal"/>
    <w:autoRedefine/>
    <w:uiPriority w:val="39"/>
    <w:unhideWhenUsed/>
    <w:rsid w:val="00563148"/>
    <w:pPr>
      <w:tabs>
        <w:tab w:val="left" w:pos="426"/>
        <w:tab w:val="right" w:pos="9639"/>
      </w:tabs>
      <w:spacing w:after="100" w:line="264" w:lineRule="auto"/>
      <w:ind w:right="-235"/>
      <w:jc w:val="both"/>
    </w:pPr>
    <w:rPr>
      <w:rFonts w:ascii="Calibri" w:eastAsiaTheme="minorEastAsia" w:hAnsi="Calibri" w:cs="Times New Roman"/>
      <w:sz w:val="24"/>
      <w:szCs w:val="24"/>
      <w:lang w:val="en-GB" w:eastAsia="en-GB"/>
    </w:rPr>
  </w:style>
  <w:style w:type="character" w:customStyle="1" w:styleId="tagtrans3">
    <w:name w:val="tag_trans3"/>
    <w:basedOn w:val="DefaultParagraphFont"/>
    <w:rsid w:val="00563148"/>
    <w:rPr>
      <w:i w:val="0"/>
      <w:iCs w:val="0"/>
      <w:color w:val="333333"/>
      <w:sz w:val="24"/>
      <w:szCs w:val="24"/>
    </w:rPr>
  </w:style>
  <w:style w:type="table" w:customStyle="1" w:styleId="Gritternetztabelle6farbig1">
    <w:name w:val="Gritternetztabelle 6 farbig1"/>
    <w:basedOn w:val="TableNormal"/>
    <w:uiPriority w:val="51"/>
    <w:rsid w:val="00563148"/>
    <w:pPr>
      <w:spacing w:after="0" w:line="240" w:lineRule="auto"/>
    </w:pPr>
    <w:rPr>
      <w:rFonts w:ascii="Calibri" w:eastAsiaTheme="minorEastAsia" w:hAnsi="Calibri" w:cs="Times New Roman"/>
      <w:color w:val="000000" w:themeColor="text1"/>
      <w:sz w:val="20"/>
      <w:szCs w:val="20"/>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0">
    <w:name w:val="Head0"/>
    <w:basedOn w:val="Style1"/>
    <w:link w:val="Head0Char"/>
    <w:qFormat/>
    <w:rsid w:val="00563148"/>
    <w:pPr>
      <w:keepNext/>
      <w:spacing w:before="480" w:after="120" w:line="288" w:lineRule="auto"/>
      <w:ind w:right="-23"/>
      <w:jc w:val="center"/>
    </w:pPr>
    <w:rPr>
      <w:rFonts w:ascii="Calibri" w:hAnsi="Calibri"/>
      <w:sz w:val="32"/>
      <w:szCs w:val="32"/>
      <w:lang w:val="x-none"/>
    </w:rPr>
  </w:style>
  <w:style w:type="character" w:customStyle="1" w:styleId="Head0Char">
    <w:name w:val="Head0 Char"/>
    <w:link w:val="Head0"/>
    <w:rsid w:val="00563148"/>
    <w:rPr>
      <w:rFonts w:ascii="Calibri" w:eastAsia="Times New Roman" w:hAnsi="Calibri" w:cs="Times New Roman"/>
      <w:b/>
      <w:smallCaps/>
      <w:sz w:val="32"/>
      <w:szCs w:val="32"/>
      <w:u w:val="single"/>
      <w:lang w:val="x-none" w:eastAsia="nl-NL"/>
    </w:rPr>
  </w:style>
  <w:style w:type="character" w:customStyle="1" w:styleId="shorttext">
    <w:name w:val="short_text"/>
    <w:basedOn w:val="DefaultParagraphFont"/>
    <w:rsid w:val="00563148"/>
  </w:style>
  <w:style w:type="paragraph" w:styleId="Revision">
    <w:name w:val="Revision"/>
    <w:hidden/>
    <w:uiPriority w:val="99"/>
    <w:semiHidden/>
    <w:rsid w:val="00563148"/>
    <w:pPr>
      <w:spacing w:after="0" w:line="240" w:lineRule="auto"/>
    </w:pPr>
    <w:rPr>
      <w:rFonts w:ascii="Calibri" w:eastAsiaTheme="minorEastAsia" w:hAnsi="Calibri" w:cs="Times New Roman"/>
      <w:sz w:val="24"/>
      <w:szCs w:val="24"/>
      <w:lang w:val="en-GB" w:eastAsia="en-GB"/>
    </w:rPr>
  </w:style>
  <w:style w:type="character" w:styleId="FollowedHyperlink">
    <w:name w:val="FollowedHyperlink"/>
    <w:basedOn w:val="DefaultParagraphFont"/>
    <w:uiPriority w:val="99"/>
    <w:semiHidden/>
    <w:unhideWhenUsed/>
    <w:rsid w:val="00563148"/>
    <w:rPr>
      <w:color w:val="954F72" w:themeColor="followedHyperlink"/>
      <w:u w:val="single"/>
    </w:rPr>
  </w:style>
  <w:style w:type="paragraph" w:styleId="TOC3">
    <w:name w:val="toc 3"/>
    <w:basedOn w:val="Normal"/>
    <w:next w:val="Normal"/>
    <w:autoRedefine/>
    <w:uiPriority w:val="39"/>
    <w:unhideWhenUsed/>
    <w:rsid w:val="00563148"/>
    <w:pPr>
      <w:tabs>
        <w:tab w:val="left" w:pos="567"/>
        <w:tab w:val="right" w:pos="9639"/>
      </w:tabs>
      <w:spacing w:after="100" w:line="264" w:lineRule="auto"/>
      <w:ind w:right="-235"/>
      <w:jc w:val="both"/>
    </w:pPr>
    <w:rPr>
      <w:rFonts w:ascii="Calibri" w:eastAsiaTheme="minorEastAsia" w:hAnsi="Calibri" w:cs="Times New Roman"/>
      <w:sz w:val="24"/>
      <w:szCs w:val="24"/>
      <w:lang w:val="en-GB" w:eastAsia="en-GB"/>
    </w:rPr>
  </w:style>
  <w:style w:type="paragraph" w:customStyle="1" w:styleId="BulletsLev1">
    <w:name w:val="Bullets_Lev1"/>
    <w:basedOn w:val="ListParagraph"/>
    <w:link w:val="BulletsLev1Char"/>
    <w:qFormat/>
    <w:rsid w:val="00563148"/>
    <w:pPr>
      <w:numPr>
        <w:numId w:val="11"/>
      </w:numPr>
      <w:suppressAutoHyphens/>
      <w:spacing w:after="120" w:line="252" w:lineRule="auto"/>
      <w:contextualSpacing w:val="0"/>
      <w:jc w:val="both"/>
    </w:pPr>
    <w:rPr>
      <w:rFonts w:eastAsiaTheme="minorEastAsia"/>
      <w:szCs w:val="20"/>
      <w:lang w:val="en-GB" w:eastAsia="zh-CN"/>
    </w:rPr>
  </w:style>
  <w:style w:type="character" w:customStyle="1" w:styleId="BulletsLev1Char">
    <w:name w:val="Bullets_Lev1 Char"/>
    <w:basedOn w:val="ListParagraphChar"/>
    <w:link w:val="BulletsLev1"/>
    <w:rsid w:val="00563148"/>
    <w:rPr>
      <w:rFonts w:eastAsiaTheme="minorEastAsia"/>
      <w:szCs w:val="20"/>
      <w:lang w:val="en-GB" w:eastAsia="zh-CN"/>
    </w:rPr>
  </w:style>
  <w:style w:type="table" w:customStyle="1" w:styleId="GridTable1Light-Accent11">
    <w:name w:val="Grid Table 1 Light - Accent 11"/>
    <w:basedOn w:val="TableNormal"/>
    <w:uiPriority w:val="46"/>
    <w:rsid w:val="00563148"/>
    <w:pPr>
      <w:spacing w:after="0" w:line="240" w:lineRule="auto"/>
    </w:pPr>
    <w:rPr>
      <w:rFonts w:ascii="Calibri" w:eastAsiaTheme="minorEastAsia" w:hAnsi="Calibri" w:cs="Times New Roman"/>
      <w:sz w:val="20"/>
      <w:szCs w:val="20"/>
      <w:lang w:eastAsia="zh-CN"/>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rsid w:val="00563148"/>
    <w:pPr>
      <w:spacing w:after="240" w:line="288" w:lineRule="auto"/>
    </w:pPr>
    <w:rPr>
      <w:rFonts w:ascii="Times New Roman" w:eastAsia="Times New Roman" w:hAnsi="Times New Roman" w:cs="Times New Roman"/>
      <w:sz w:val="24"/>
      <w:szCs w:val="20"/>
      <w:lang w:val="en-GB" w:eastAsia="da-DK"/>
    </w:rPr>
  </w:style>
  <w:style w:type="character" w:customStyle="1" w:styleId="BodyTextChar">
    <w:name w:val="Body Text Char"/>
    <w:basedOn w:val="DefaultParagraphFont"/>
    <w:link w:val="BodyText"/>
    <w:rsid w:val="00563148"/>
    <w:rPr>
      <w:rFonts w:ascii="Times New Roman" w:eastAsia="Times New Roman" w:hAnsi="Times New Roman" w:cs="Times New Roman"/>
      <w:sz w:val="24"/>
      <w:szCs w:val="20"/>
      <w:lang w:val="en-GB" w:eastAsia="da-DK"/>
    </w:rPr>
  </w:style>
  <w:style w:type="paragraph" w:customStyle="1" w:styleId="Addressblock">
    <w:name w:val="Address block"/>
    <w:basedOn w:val="Header"/>
    <w:qFormat/>
    <w:rsid w:val="00563148"/>
    <w:pPr>
      <w:tabs>
        <w:tab w:val="clear" w:pos="4153"/>
        <w:tab w:val="clear" w:pos="8306"/>
        <w:tab w:val="left" w:pos="7711"/>
      </w:tabs>
      <w:spacing w:after="160" w:line="220" w:lineRule="atLeast"/>
      <w:ind w:right="-284"/>
    </w:pPr>
    <w:rPr>
      <w:rFonts w:ascii="Century Gothic" w:eastAsiaTheme="minorEastAsia" w:hAnsi="Century Gothic"/>
      <w:color w:val="44546A" w:themeColor="text2"/>
      <w:sz w:val="18"/>
      <w:szCs w:val="20"/>
      <w:lang w:val="en-US" w:eastAsia="zh-TW"/>
    </w:rPr>
  </w:style>
  <w:style w:type="character" w:customStyle="1" w:styleId="E2LevelChar">
    <w:name w:val="E 2 Level Char"/>
    <w:rsid w:val="00563148"/>
    <w:rPr>
      <w:rFonts w:ascii="Arial" w:eastAsia="Arial" w:hAnsi="Arial" w:cs="Arial"/>
      <w:b/>
      <w:bCs/>
      <w:color w:val="000000"/>
      <w:sz w:val="27"/>
    </w:rPr>
  </w:style>
  <w:style w:type="paragraph" w:customStyle="1" w:styleId="MainBody">
    <w:name w:val="MainBody"/>
    <w:basedOn w:val="BulletsLev1"/>
    <w:link w:val="MainBodyChar"/>
    <w:qFormat/>
    <w:rsid w:val="00563148"/>
    <w:pPr>
      <w:numPr>
        <w:numId w:val="0"/>
      </w:numPr>
    </w:pPr>
  </w:style>
  <w:style w:type="character" w:customStyle="1" w:styleId="MainBodyChar">
    <w:name w:val="MainBody Char"/>
    <w:basedOn w:val="BulletsLev1Char"/>
    <w:link w:val="MainBody"/>
    <w:rsid w:val="00563148"/>
    <w:rPr>
      <w:rFonts w:eastAsiaTheme="minorEastAsia"/>
      <w:szCs w:val="20"/>
      <w:lang w:val="en-GB" w:eastAsia="zh-CN"/>
    </w:rPr>
  </w:style>
  <w:style w:type="paragraph" w:customStyle="1" w:styleId="footnotedescription">
    <w:name w:val="footnote description"/>
    <w:next w:val="Normal"/>
    <w:link w:val="footnotedescriptionChar"/>
    <w:hidden/>
    <w:rsid w:val="00563148"/>
    <w:pPr>
      <w:spacing w:after="0"/>
      <w:ind w:left="64"/>
    </w:pPr>
    <w:rPr>
      <w:rFonts w:ascii="Calibri" w:eastAsia="Calibri" w:hAnsi="Calibri" w:cs="Calibri"/>
      <w:color w:val="000000"/>
      <w:sz w:val="19"/>
      <w:lang w:val="en-GB" w:eastAsia="en-GB"/>
    </w:rPr>
  </w:style>
  <w:style w:type="character" w:customStyle="1" w:styleId="footnotedescriptionChar">
    <w:name w:val="footnote description Char"/>
    <w:link w:val="footnotedescription"/>
    <w:rsid w:val="00563148"/>
    <w:rPr>
      <w:rFonts w:ascii="Calibri" w:eastAsia="Calibri" w:hAnsi="Calibri" w:cs="Calibri"/>
      <w:color w:val="000000"/>
      <w:sz w:val="19"/>
      <w:lang w:val="en-GB" w:eastAsia="en-GB"/>
    </w:rPr>
  </w:style>
  <w:style w:type="character" w:customStyle="1" w:styleId="footnotemark">
    <w:name w:val="footnote mark"/>
    <w:hidden/>
    <w:rsid w:val="00563148"/>
    <w:rPr>
      <w:rFonts w:ascii="Calibri" w:eastAsia="Calibri" w:hAnsi="Calibri" w:cs="Calibri"/>
      <w:color w:val="000000"/>
      <w:sz w:val="19"/>
      <w:vertAlign w:val="superscript"/>
    </w:rPr>
  </w:style>
  <w:style w:type="paragraph" w:customStyle="1" w:styleId="Title1nonumbering">
    <w:name w:val="Title1_no numbering"/>
    <w:basedOn w:val="E1Level"/>
    <w:link w:val="Title1nonumberingChar"/>
    <w:qFormat/>
    <w:rsid w:val="00563148"/>
    <w:pPr>
      <w:keepNext/>
    </w:pPr>
    <w:rPr>
      <w:rFonts w:ascii="Arial" w:eastAsia="Arial" w:hAnsi="Arial" w:cs="Arial"/>
      <w:color w:val="000000"/>
      <w:sz w:val="27"/>
      <w:szCs w:val="22"/>
    </w:rPr>
  </w:style>
  <w:style w:type="paragraph" w:customStyle="1" w:styleId="a-Level">
    <w:name w:val="a-Level"/>
    <w:basedOn w:val="BulletsLev1"/>
    <w:link w:val="a-LevelChar"/>
    <w:qFormat/>
    <w:rsid w:val="00563148"/>
    <w:pPr>
      <w:numPr>
        <w:numId w:val="12"/>
      </w:numPr>
    </w:pPr>
  </w:style>
  <w:style w:type="character" w:customStyle="1" w:styleId="Title1nonumberingChar">
    <w:name w:val="Title1_no numbering Char"/>
    <w:basedOn w:val="DefaultParagraphFont"/>
    <w:link w:val="Title1nonumbering"/>
    <w:rsid w:val="00563148"/>
    <w:rPr>
      <w:rFonts w:ascii="Arial" w:eastAsia="Arial" w:hAnsi="Arial" w:cs="Arial"/>
      <w:color w:val="000000"/>
      <w:sz w:val="27"/>
      <w:lang w:val="en-GB" w:eastAsia="en-GB"/>
    </w:rPr>
  </w:style>
  <w:style w:type="character" w:customStyle="1" w:styleId="a-LevelChar">
    <w:name w:val="a-Level Char"/>
    <w:basedOn w:val="BulletsLev1Char"/>
    <w:link w:val="a-Level"/>
    <w:rsid w:val="00563148"/>
    <w:rPr>
      <w:rFonts w:eastAsiaTheme="minorEastAsia"/>
      <w:szCs w:val="20"/>
      <w:lang w:val="en-GB" w:eastAsia="zh-CN"/>
    </w:rPr>
  </w:style>
  <w:style w:type="paragraph" w:customStyle="1" w:styleId="Annex1">
    <w:name w:val="Annex1"/>
    <w:basedOn w:val="E2Level"/>
    <w:link w:val="Annex1Char"/>
    <w:qFormat/>
    <w:rsid w:val="00563148"/>
    <w:pPr>
      <w:keepNext/>
      <w:numPr>
        <w:numId w:val="13"/>
      </w:numPr>
      <w:spacing w:before="120"/>
      <w:outlineLvl w:val="0"/>
    </w:pPr>
    <w:rPr>
      <w:rFonts w:ascii="Arial" w:eastAsia="Arial" w:hAnsi="Arial" w:cs="Arial"/>
      <w:color w:val="000000"/>
      <w:sz w:val="27"/>
      <w:szCs w:val="22"/>
    </w:rPr>
  </w:style>
  <w:style w:type="paragraph" w:customStyle="1" w:styleId="Annex11">
    <w:name w:val="Annex1.1"/>
    <w:basedOn w:val="Annex1"/>
    <w:link w:val="Annex11Char"/>
    <w:qFormat/>
    <w:rsid w:val="00563148"/>
    <w:pPr>
      <w:numPr>
        <w:ilvl w:val="1"/>
      </w:numPr>
    </w:pPr>
    <w:rPr>
      <w:color w:val="2E74B5" w:themeColor="accent1" w:themeShade="BF"/>
    </w:rPr>
  </w:style>
  <w:style w:type="character" w:customStyle="1" w:styleId="Annex1Char">
    <w:name w:val="Annex1 Char"/>
    <w:basedOn w:val="E2LevelChar"/>
    <w:link w:val="Annex1"/>
    <w:rsid w:val="00563148"/>
    <w:rPr>
      <w:rFonts w:ascii="Arial" w:eastAsia="Arial" w:hAnsi="Arial" w:cs="Arial"/>
      <w:b/>
      <w:bCs/>
      <w:color w:val="000000"/>
      <w:sz w:val="27"/>
      <w:lang w:val="en-GB" w:eastAsia="en-GB"/>
    </w:rPr>
  </w:style>
  <w:style w:type="character" w:customStyle="1" w:styleId="Annex11Char">
    <w:name w:val="Annex1.1 Char"/>
    <w:basedOn w:val="Annex1Char"/>
    <w:link w:val="Annex11"/>
    <w:rsid w:val="00563148"/>
    <w:rPr>
      <w:rFonts w:ascii="Arial" w:eastAsia="Arial" w:hAnsi="Arial" w:cs="Arial"/>
      <w:b/>
      <w:bCs/>
      <w:color w:val="2E74B5" w:themeColor="accent1" w:themeShade="BF"/>
      <w:sz w:val="27"/>
      <w:lang w:val="en-GB" w:eastAsia="en-GB"/>
    </w:rPr>
  </w:style>
  <w:style w:type="character" w:customStyle="1" w:styleId="UnresolvedMention1">
    <w:name w:val="Unresolved Mention1"/>
    <w:basedOn w:val="DefaultParagraphFont"/>
    <w:uiPriority w:val="99"/>
    <w:semiHidden/>
    <w:unhideWhenUsed/>
    <w:rsid w:val="00563148"/>
    <w:rPr>
      <w:color w:val="605E5C"/>
      <w:shd w:val="clear" w:color="auto" w:fill="E1DFDD"/>
    </w:rPr>
  </w:style>
  <w:style w:type="table" w:customStyle="1" w:styleId="Gritternetztabelle6farbig11">
    <w:name w:val="Gritternetztabelle 6 farbig11"/>
    <w:basedOn w:val="TableNormal"/>
    <w:uiPriority w:val="51"/>
    <w:rsid w:val="00563148"/>
    <w:pPr>
      <w:spacing w:line="252" w:lineRule="auto"/>
      <w:jc w:val="both"/>
    </w:pPr>
    <w:rPr>
      <w:rFonts w:eastAsiaTheme="minorEastAsia"/>
      <w:color w:val="000000" w:themeColor="text1"/>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dnoteText">
    <w:name w:val="endnote text"/>
    <w:basedOn w:val="Normal"/>
    <w:link w:val="EndnoteTextChar"/>
    <w:uiPriority w:val="99"/>
    <w:semiHidden/>
    <w:unhideWhenUsed/>
    <w:rsid w:val="00563148"/>
    <w:pPr>
      <w:spacing w:after="0" w:line="240" w:lineRule="auto"/>
      <w:jc w:val="both"/>
    </w:pPr>
    <w:rPr>
      <w:rFonts w:ascii="Calibri" w:eastAsiaTheme="minorEastAsia" w:hAnsi="Calibri" w:cs="Times New Roman"/>
      <w:sz w:val="20"/>
      <w:szCs w:val="20"/>
      <w:lang w:val="en-GB" w:eastAsia="en-GB"/>
    </w:rPr>
  </w:style>
  <w:style w:type="character" w:customStyle="1" w:styleId="EndnoteTextChar">
    <w:name w:val="Endnote Text Char"/>
    <w:basedOn w:val="DefaultParagraphFont"/>
    <w:link w:val="EndnoteText"/>
    <w:uiPriority w:val="99"/>
    <w:semiHidden/>
    <w:rsid w:val="00563148"/>
    <w:rPr>
      <w:rFonts w:ascii="Calibri" w:eastAsiaTheme="minorEastAsia" w:hAnsi="Calibri" w:cs="Times New Roman"/>
      <w:sz w:val="20"/>
      <w:szCs w:val="20"/>
      <w:lang w:val="en-GB" w:eastAsia="en-GB"/>
    </w:rPr>
  </w:style>
  <w:style w:type="character" w:styleId="EndnoteReference">
    <w:name w:val="endnote reference"/>
    <w:basedOn w:val="DefaultParagraphFont"/>
    <w:uiPriority w:val="99"/>
    <w:semiHidden/>
    <w:unhideWhenUsed/>
    <w:rsid w:val="00563148"/>
    <w:rPr>
      <w:vertAlign w:val="superscript"/>
    </w:rPr>
  </w:style>
  <w:style w:type="character" w:customStyle="1" w:styleId="UnresolvedMention2">
    <w:name w:val="Unresolved Mention2"/>
    <w:basedOn w:val="DefaultParagraphFont"/>
    <w:uiPriority w:val="99"/>
    <w:semiHidden/>
    <w:unhideWhenUsed/>
    <w:rsid w:val="00563148"/>
    <w:rPr>
      <w:color w:val="605E5C"/>
      <w:shd w:val="clear" w:color="auto" w:fill="E1DFDD"/>
    </w:rPr>
  </w:style>
  <w:style w:type="character" w:customStyle="1" w:styleId="Menzionenonrisolta1">
    <w:name w:val="Menzione non risolta1"/>
    <w:basedOn w:val="DefaultParagraphFont"/>
    <w:uiPriority w:val="99"/>
    <w:semiHidden/>
    <w:unhideWhenUsed/>
    <w:rsid w:val="00563148"/>
    <w:rPr>
      <w:color w:val="605E5C"/>
      <w:shd w:val="clear" w:color="auto" w:fill="E1DFDD"/>
    </w:rPr>
  </w:style>
  <w:style w:type="table" w:customStyle="1" w:styleId="GridTable1Light-Accent12">
    <w:name w:val="Grid Table 1 Light - Accent 12"/>
    <w:basedOn w:val="TableNormal"/>
    <w:uiPriority w:val="46"/>
    <w:rsid w:val="00563148"/>
    <w:pPr>
      <w:spacing w:after="0" w:line="240" w:lineRule="auto"/>
    </w:pPr>
    <w:rPr>
      <w:rFonts w:ascii="Calibri" w:eastAsiaTheme="minorEastAsia" w:hAnsi="Calibri" w:cs="Times New Roman"/>
      <w:sz w:val="20"/>
      <w:szCs w:val="20"/>
      <w:lang w:eastAsia="zh-CN"/>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563148"/>
    <w:rPr>
      <w:color w:val="605E5C"/>
      <w:shd w:val="clear" w:color="auto" w:fill="E1DFDD"/>
    </w:rPr>
  </w:style>
  <w:style w:type="paragraph" w:customStyle="1" w:styleId="Norma">
    <w:name w:val="Norma"/>
    <w:basedOn w:val="E3Level"/>
    <w:rsid w:val="00563148"/>
    <w:pPr>
      <w:numPr>
        <w:numId w:val="13"/>
      </w:numPr>
    </w:pPr>
  </w:style>
  <w:style w:type="character" w:customStyle="1" w:styleId="s39">
    <w:name w:val="s39"/>
    <w:basedOn w:val="DefaultParagraphFont"/>
    <w:rsid w:val="00563148"/>
  </w:style>
  <w:style w:type="character" w:customStyle="1" w:styleId="UnresolvedMention4">
    <w:name w:val="Unresolved Mention4"/>
    <w:basedOn w:val="DefaultParagraphFont"/>
    <w:uiPriority w:val="99"/>
    <w:semiHidden/>
    <w:unhideWhenUsed/>
    <w:rsid w:val="00563148"/>
    <w:rPr>
      <w:color w:val="605E5C"/>
      <w:shd w:val="clear" w:color="auto" w:fill="E1DFDD"/>
    </w:rPr>
  </w:style>
  <w:style w:type="paragraph" w:customStyle="1" w:styleId="TableParagraph">
    <w:name w:val="Table Paragraph"/>
    <w:basedOn w:val="Normal"/>
    <w:uiPriority w:val="1"/>
    <w:qFormat/>
    <w:rsid w:val="00563148"/>
    <w:pPr>
      <w:widowControl w:val="0"/>
      <w:autoSpaceDE w:val="0"/>
      <w:autoSpaceDN w:val="0"/>
      <w:spacing w:after="0" w:line="240" w:lineRule="auto"/>
    </w:pPr>
    <w:rPr>
      <w:rFonts w:ascii="Calibri" w:eastAsia="Calibri" w:hAnsi="Calibri" w:cs="Calibri"/>
    </w:rPr>
  </w:style>
  <w:style w:type="character" w:customStyle="1" w:styleId="UnresolvedMention5">
    <w:name w:val="Unresolved Mention5"/>
    <w:basedOn w:val="DefaultParagraphFont"/>
    <w:uiPriority w:val="99"/>
    <w:unhideWhenUsed/>
    <w:rsid w:val="00563148"/>
    <w:rPr>
      <w:color w:val="605E5C"/>
      <w:shd w:val="clear" w:color="auto" w:fill="E1DFDD"/>
    </w:rPr>
  </w:style>
  <w:style w:type="character" w:customStyle="1" w:styleId="Mention1">
    <w:name w:val="Mention1"/>
    <w:basedOn w:val="DefaultParagraphFont"/>
    <w:uiPriority w:val="99"/>
    <w:unhideWhenUsed/>
    <w:rsid w:val="00563148"/>
    <w:rPr>
      <w:color w:val="2B579A"/>
      <w:shd w:val="clear" w:color="auto" w:fill="E1DFDD"/>
    </w:rPr>
  </w:style>
  <w:style w:type="character" w:customStyle="1" w:styleId="Menzionenonrisolta2">
    <w:name w:val="Menzione non risolta2"/>
    <w:basedOn w:val="DefaultParagraphFont"/>
    <w:uiPriority w:val="99"/>
    <w:semiHidden/>
    <w:unhideWhenUsed/>
    <w:rsid w:val="00563148"/>
    <w:rPr>
      <w:color w:val="605E5C"/>
      <w:shd w:val="clear" w:color="auto" w:fill="E1DFDD"/>
    </w:rPr>
  </w:style>
  <w:style w:type="paragraph" w:customStyle="1" w:styleId="AONormal">
    <w:name w:val="AONormal"/>
    <w:basedOn w:val="Normal"/>
    <w:rsid w:val="0013737A"/>
    <w:pPr>
      <w:spacing w:after="0" w:line="260" w:lineRule="atLeast"/>
    </w:pPr>
    <w:rPr>
      <w:rFonts w:ascii="Times New Roman" w:hAnsi="Times New Roman" w:cs="Times New Roman"/>
    </w:rPr>
  </w:style>
  <w:style w:type="paragraph" w:customStyle="1" w:styleId="ListBullet9">
    <w:name w:val="List Bullet 9"/>
    <w:rsid w:val="00057084"/>
    <w:pPr>
      <w:numPr>
        <w:numId w:val="15"/>
      </w:numPr>
      <w:spacing w:after="0" w:line="240" w:lineRule="auto"/>
      <w:jc w:val="both"/>
    </w:pPr>
    <w:rPr>
      <w:rFonts w:ascii="Arial" w:eastAsia="Times New Roman" w:hAnsi="Arial" w:cs="Times New Roman"/>
      <w:szCs w:val="20"/>
      <w:lang w:val="en-GB"/>
    </w:rPr>
  </w:style>
  <w:style w:type="paragraph" w:customStyle="1" w:styleId="Appendix">
    <w:name w:val="Appendix"/>
    <w:next w:val="Normal"/>
    <w:link w:val="AppendixChar"/>
    <w:autoRedefine/>
    <w:rsid w:val="00057084"/>
    <w:pPr>
      <w:keepNext/>
      <w:pageBreakBefore/>
      <w:numPr>
        <w:numId w:val="17"/>
      </w:numPr>
      <w:tabs>
        <w:tab w:val="left" w:pos="431"/>
      </w:tabs>
      <w:spacing w:before="240" w:after="60" w:line="240" w:lineRule="auto"/>
    </w:pPr>
    <w:rPr>
      <w:rFonts w:ascii="Arial" w:eastAsia="Times New Roman" w:hAnsi="Arial" w:cs="Arial"/>
      <w:b/>
      <w:bCs/>
      <w:kern w:val="32"/>
      <w:u w:val="single"/>
      <w:lang w:val="en-GB" w:eastAsia="nl-NL"/>
    </w:rPr>
  </w:style>
  <w:style w:type="character" w:customStyle="1" w:styleId="AppendixChar">
    <w:name w:val="Appendix Char"/>
    <w:link w:val="Appendix"/>
    <w:locked/>
    <w:rsid w:val="00057084"/>
    <w:rPr>
      <w:rFonts w:ascii="Arial" w:eastAsia="Times New Roman" w:hAnsi="Arial" w:cs="Arial"/>
      <w:b/>
      <w:bCs/>
      <w:kern w:val="32"/>
      <w:u w:val="single"/>
      <w:lang w:val="en-GB" w:eastAsia="nl-NL"/>
    </w:rPr>
  </w:style>
  <w:style w:type="paragraph" w:customStyle="1" w:styleId="Elencopuntato">
    <w:name w:val="Elenco puntato"/>
    <w:basedOn w:val="BodyText"/>
    <w:rsid w:val="00057084"/>
    <w:pPr>
      <w:widowControl w:val="0"/>
      <w:numPr>
        <w:numId w:val="16"/>
      </w:numPr>
      <w:spacing w:after="120" w:line="240" w:lineRule="auto"/>
      <w:ind w:right="851"/>
      <w:jc w:val="both"/>
    </w:pPr>
    <w:rPr>
      <w:iCs/>
      <w:noProof/>
      <w:szCs w:val="24"/>
      <w:lang w:val="it-IT" w:eastAsia="en-US"/>
    </w:rPr>
  </w:style>
  <w:style w:type="paragraph" w:customStyle="1" w:styleId="Standard1">
    <w:name w:val="Standard1"/>
    <w:basedOn w:val="Normal"/>
    <w:next w:val="Normal"/>
    <w:rsid w:val="00057084"/>
    <w:pPr>
      <w:autoSpaceDE w:val="0"/>
      <w:autoSpaceDN w:val="0"/>
      <w:adjustRightInd w:val="0"/>
      <w:spacing w:after="0" w:line="240" w:lineRule="auto"/>
    </w:pPr>
    <w:rPr>
      <w:rFonts w:ascii="Arial" w:eastAsia="Times New Roman" w:hAnsi="Arial" w:cs="Arial"/>
      <w:sz w:val="24"/>
      <w:szCs w:val="24"/>
      <w:lang w:val="de-DE"/>
    </w:rPr>
  </w:style>
  <w:style w:type="character" w:customStyle="1" w:styleId="apple-converted-space">
    <w:name w:val="apple-converted-space"/>
    <w:rsid w:val="00057084"/>
  </w:style>
  <w:style w:type="character" w:styleId="Strong">
    <w:name w:val="Strong"/>
    <w:basedOn w:val="DefaultParagraphFont"/>
    <w:uiPriority w:val="22"/>
    <w:qFormat/>
    <w:rsid w:val="00057084"/>
    <w:rPr>
      <w:b/>
      <w:bCs/>
    </w:rPr>
  </w:style>
  <w:style w:type="paragraph" w:styleId="BodyTextIndent2">
    <w:name w:val="Body Text Indent 2"/>
    <w:basedOn w:val="Normal"/>
    <w:link w:val="BodyTextIndent2Char"/>
    <w:uiPriority w:val="99"/>
    <w:semiHidden/>
    <w:unhideWhenUsed/>
    <w:rsid w:val="00057084"/>
    <w:pPr>
      <w:spacing w:after="120" w:line="480" w:lineRule="auto"/>
      <w:ind w:left="283"/>
    </w:pPr>
  </w:style>
  <w:style w:type="character" w:customStyle="1" w:styleId="BodyTextIndent2Char">
    <w:name w:val="Body Text Indent 2 Char"/>
    <w:basedOn w:val="DefaultParagraphFont"/>
    <w:link w:val="BodyTextIndent2"/>
    <w:uiPriority w:val="99"/>
    <w:semiHidden/>
    <w:rsid w:val="00057084"/>
  </w:style>
  <w:style w:type="paragraph" w:customStyle="1" w:styleId="Default">
    <w:name w:val="Default"/>
    <w:rsid w:val="0005708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
    <w:name w:val="table"/>
    <w:basedOn w:val="Normal"/>
    <w:link w:val="tableChar"/>
    <w:rsid w:val="00057084"/>
    <w:pPr>
      <w:spacing w:after="0" w:line="240" w:lineRule="auto"/>
      <w:jc w:val="both"/>
    </w:pPr>
    <w:rPr>
      <w:rFonts w:ascii="Times New Roman" w:eastAsia="Times New Roman" w:hAnsi="Times New Roman" w:cs="Times New Roman"/>
      <w:noProof/>
      <w:color w:val="000000"/>
      <w:sz w:val="20"/>
      <w:szCs w:val="20"/>
      <w:lang w:val="en-GB"/>
    </w:rPr>
  </w:style>
  <w:style w:type="character" w:customStyle="1" w:styleId="tableChar">
    <w:name w:val="table Char"/>
    <w:link w:val="table"/>
    <w:rsid w:val="00057084"/>
    <w:rPr>
      <w:rFonts w:ascii="Times New Roman" w:eastAsia="Times New Roman" w:hAnsi="Times New Roman" w:cs="Times New Roman"/>
      <w:noProof/>
      <w:color w:val="000000"/>
      <w:sz w:val="20"/>
      <w:szCs w:val="20"/>
      <w:lang w:val="en-GB"/>
    </w:rPr>
  </w:style>
  <w:style w:type="numbering" w:customStyle="1" w:styleId="Style3">
    <w:name w:val="Style3"/>
    <w:uiPriority w:val="99"/>
    <w:rsid w:val="002C4B69"/>
    <w:pPr>
      <w:numPr>
        <w:numId w:val="21"/>
      </w:numPr>
    </w:pPr>
  </w:style>
  <w:style w:type="numbering" w:customStyle="1" w:styleId="Style4">
    <w:name w:val="Style4"/>
    <w:uiPriority w:val="99"/>
    <w:rsid w:val="00964917"/>
    <w:pPr>
      <w:numPr>
        <w:numId w:val="23"/>
      </w:numPr>
    </w:pPr>
  </w:style>
  <w:style w:type="numbering" w:customStyle="1" w:styleId="Style5">
    <w:name w:val="Style5"/>
    <w:uiPriority w:val="99"/>
    <w:rsid w:val="00473712"/>
    <w:pPr>
      <w:numPr>
        <w:numId w:val="25"/>
      </w:numPr>
    </w:pPr>
  </w:style>
  <w:style w:type="numbering" w:customStyle="1" w:styleId="Style6">
    <w:name w:val="Style6"/>
    <w:uiPriority w:val="99"/>
    <w:rsid w:val="008E6F5F"/>
    <w:pPr>
      <w:numPr>
        <w:numId w:val="26"/>
      </w:numPr>
    </w:pPr>
  </w:style>
  <w:style w:type="numbering" w:customStyle="1" w:styleId="Style7">
    <w:name w:val="Style7"/>
    <w:uiPriority w:val="99"/>
    <w:rsid w:val="005A727B"/>
    <w:pPr>
      <w:numPr>
        <w:numId w:val="29"/>
      </w:numPr>
    </w:pPr>
  </w:style>
  <w:style w:type="numbering" w:customStyle="1" w:styleId="Style8">
    <w:name w:val="Style8"/>
    <w:uiPriority w:val="99"/>
    <w:rsid w:val="004E63D7"/>
    <w:pPr>
      <w:numPr>
        <w:numId w:val="31"/>
      </w:numPr>
    </w:pPr>
  </w:style>
  <w:style w:type="character" w:customStyle="1" w:styleId="fontstyle01">
    <w:name w:val="fontstyle01"/>
    <w:basedOn w:val="DefaultParagraphFont"/>
    <w:rsid w:val="00E84FAF"/>
    <w:rPr>
      <w:rFonts w:ascii="Calibri Light" w:hAnsi="Calibri Light" w:cs="Calibri Light" w:hint="default"/>
      <w:b w:val="0"/>
      <w:bCs w:val="0"/>
      <w:i w:val="0"/>
      <w:iCs w:val="0"/>
      <w:color w:val="000000"/>
      <w:sz w:val="36"/>
      <w:szCs w:val="36"/>
    </w:rPr>
  </w:style>
  <w:style w:type="character" w:customStyle="1" w:styleId="UnresolvedMention6">
    <w:name w:val="Unresolved Mention6"/>
    <w:basedOn w:val="DefaultParagraphFont"/>
    <w:uiPriority w:val="99"/>
    <w:semiHidden/>
    <w:unhideWhenUsed/>
    <w:rsid w:val="009E00B3"/>
    <w:rPr>
      <w:color w:val="605E5C"/>
      <w:shd w:val="clear" w:color="auto" w:fill="E1DFDD"/>
    </w:rPr>
  </w:style>
  <w:style w:type="character" w:styleId="UnresolvedMention">
    <w:name w:val="Unresolved Mention"/>
    <w:basedOn w:val="DefaultParagraphFont"/>
    <w:uiPriority w:val="99"/>
    <w:semiHidden/>
    <w:unhideWhenUsed/>
    <w:rsid w:val="00267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7020">
      <w:bodyDiv w:val="1"/>
      <w:marLeft w:val="0"/>
      <w:marRight w:val="0"/>
      <w:marTop w:val="0"/>
      <w:marBottom w:val="0"/>
      <w:divBdr>
        <w:top w:val="none" w:sz="0" w:space="0" w:color="auto"/>
        <w:left w:val="none" w:sz="0" w:space="0" w:color="auto"/>
        <w:bottom w:val="none" w:sz="0" w:space="0" w:color="auto"/>
        <w:right w:val="none" w:sz="0" w:space="0" w:color="auto"/>
      </w:divBdr>
      <w:divsChild>
        <w:div w:id="1604653288">
          <w:marLeft w:val="0"/>
          <w:marRight w:val="0"/>
          <w:marTop w:val="0"/>
          <w:marBottom w:val="0"/>
          <w:divBdr>
            <w:top w:val="none" w:sz="0" w:space="0" w:color="auto"/>
            <w:left w:val="none" w:sz="0" w:space="0" w:color="auto"/>
            <w:bottom w:val="none" w:sz="0" w:space="0" w:color="auto"/>
            <w:right w:val="none" w:sz="0" w:space="0" w:color="auto"/>
          </w:divBdr>
        </w:div>
      </w:divsChild>
    </w:div>
    <w:div w:id="566189222">
      <w:bodyDiv w:val="1"/>
      <w:marLeft w:val="0"/>
      <w:marRight w:val="0"/>
      <w:marTop w:val="0"/>
      <w:marBottom w:val="0"/>
      <w:divBdr>
        <w:top w:val="none" w:sz="0" w:space="0" w:color="auto"/>
        <w:left w:val="none" w:sz="0" w:space="0" w:color="auto"/>
        <w:bottom w:val="none" w:sz="0" w:space="0" w:color="auto"/>
        <w:right w:val="none" w:sz="0" w:space="0" w:color="auto"/>
      </w:divBdr>
    </w:div>
    <w:div w:id="77464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et-test@desfa.gr" TargetMode="External"/><Relationship Id="rId18" Type="http://schemas.openxmlformats.org/officeDocument/2006/relationships/hyperlink" Target="https://www.tap-ag.com/shippers/market-test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market-test@DESFA.GR" TargetMode="External"/><Relationship Id="rId7" Type="http://schemas.openxmlformats.org/officeDocument/2006/relationships/settings" Target="settings.xml"/><Relationship Id="rId12" Type="http://schemas.openxmlformats.org/officeDocument/2006/relationships/hyperlink" Target="mailto:%20" TargetMode="External"/><Relationship Id="rId17" Type="http://schemas.openxmlformats.org/officeDocument/2006/relationships/hyperlink" Target="mailto:market-test@desfa.gr"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market-test@desfa.gr" TargetMode="External"/><Relationship Id="rId20" Type="http://schemas.openxmlformats.org/officeDocument/2006/relationships/hyperlink" Target="http://www.desfa.gr"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market-test@desfa.gr"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market-test@DESFA.G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esfa.gr" TargetMode="External"/><Relationship Id="rId22" Type="http://schemas.openxmlformats.org/officeDocument/2006/relationships/hyperlink" Target="http://www.desfa.gr" TargetMode="External"/><Relationship Id="rId27" Type="http://schemas.openxmlformats.org/officeDocument/2006/relationships/header" Target="header3.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desfa.gr/regulatory-framework/compliance/prostasia-prosopikwn-dedomenwn" TargetMode="External"/><Relationship Id="rId2" Type="http://schemas.openxmlformats.org/officeDocument/2006/relationships/hyperlink" Target="https://www.desfa.gr/regulatory-framework/compliance/prostasia-prosopikwn-dedomenwn" TargetMode="External"/><Relationship Id="rId1" Type="http://schemas.openxmlformats.org/officeDocument/2006/relationships/hyperlink" Target="https://www.desfa.gr/en/regulatory-framework/compliance/code-of-condu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C7241976B231944899F865C16A1DF8BB" ma:contentTypeVersion="13" ma:contentTypeDescription="Δημιουργία νέου εγγράφου" ma:contentTypeScope="" ma:versionID="e2a2d65f6858acbfc953fa6822ffd950">
  <xsd:schema xmlns:xsd="http://www.w3.org/2001/XMLSchema" xmlns:xs="http://www.w3.org/2001/XMLSchema" xmlns:p="http://schemas.microsoft.com/office/2006/metadata/properties" xmlns:ns3="f9533836-1301-48ec-b045-2367f4d9996a" xmlns:ns4="2714a6de-182f-407c-b0b6-9cde53d0d872" targetNamespace="http://schemas.microsoft.com/office/2006/metadata/properties" ma:root="true" ma:fieldsID="dae503edfbc906bd7febfe900ed97af1" ns3:_="" ns4:_="">
    <xsd:import namespace="f9533836-1301-48ec-b045-2367f4d9996a"/>
    <xsd:import namespace="2714a6de-182f-407c-b0b6-9cde53d0d8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33836-1301-48ec-b045-2367f4d99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14a6de-182f-407c-b0b6-9cde53d0d872" elementFormDefault="qualified">
    <xsd:import namespace="http://schemas.microsoft.com/office/2006/documentManagement/types"/>
    <xsd:import namespace="http://schemas.microsoft.com/office/infopath/2007/PartnerControls"/>
    <xsd:element name="SharedWithUsers" ma:index="17"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Κοινή χρήση με λεπτομέρειες" ma:internalName="SharedWithDetails" ma:readOnly="true">
      <xsd:simpleType>
        <xsd:restriction base="dms:Note">
          <xsd:maxLength value="255"/>
        </xsd:restriction>
      </xsd:simpleType>
    </xsd:element>
    <xsd:element name="SharingHintHash" ma:index="19"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483F1E-C490-4563-A68F-2C273717C7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CAED7B-33B1-4DE8-925A-201FEE6B9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33836-1301-48ec-b045-2367f4d9996a"/>
    <ds:schemaRef ds:uri="2714a6de-182f-407c-b0b6-9cde53d0d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828B2E-5257-4948-AC7E-C11AA4F3D522}">
  <ds:schemaRefs>
    <ds:schemaRef ds:uri="http://schemas.openxmlformats.org/officeDocument/2006/bibliography"/>
  </ds:schemaRefs>
</ds:datastoreItem>
</file>

<file path=customXml/itemProps4.xml><?xml version="1.0" encoding="utf-8"?>
<ds:datastoreItem xmlns:ds="http://schemas.openxmlformats.org/officeDocument/2006/customXml" ds:itemID="{82379916-96E4-4FEF-89D1-2628F4418A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16250</Words>
  <Characters>92626</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Doumouras</dc:creator>
  <cp:keywords/>
  <dc:description/>
  <cp:lastModifiedBy>Margarita Syrkou</cp:lastModifiedBy>
  <cp:revision>8</cp:revision>
  <cp:lastPrinted>2023-01-20T10:16:00Z</cp:lastPrinted>
  <dcterms:created xsi:type="dcterms:W3CDTF">2023-01-20T08:54:00Z</dcterms:created>
  <dcterms:modified xsi:type="dcterms:W3CDTF">2023-01-20T10:16:00Z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0x010100C7241976B231944899F865C16A1DF8BB</vt:lpwstr>
  </property>
</Properties>
</file>